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b/>
          <w:bCs/>
          <w:sz w:val="28"/>
          <w:szCs w:val="28"/>
        </w:rPr>
      </w:pPr>
      <w:bookmarkStart w:id="30" w:name="_GoBack"/>
      <w:bookmarkEnd w:id="30"/>
      <w:bookmarkStart w:id="0" w:name="OLE_LINK5"/>
      <w:bookmarkStart w:id="1" w:name="OLE_LINK33"/>
      <w:r>
        <w:rPr>
          <w:rFonts w:hint="eastAsia"/>
          <w:b/>
          <w:bCs/>
          <w:sz w:val="28"/>
          <w:szCs w:val="28"/>
        </w:rPr>
        <w:t>河海大学学报（哲学社会科学版）论文来稿要求</w:t>
      </w:r>
    </w:p>
    <w:p>
      <w:pPr>
        <w:spacing w:line="360" w:lineRule="auto"/>
        <w:jc w:val="left"/>
        <w:rPr>
          <w:rFonts w:ascii="Arial" w:hAnsi="Arial" w:cs="Arial"/>
          <w:color w:val="000000"/>
          <w:sz w:val="24"/>
          <w:szCs w:val="24"/>
        </w:rPr>
      </w:pPr>
      <w:r>
        <w:rPr>
          <w:rFonts w:hint="eastAsia" w:ascii="Arial" w:hAnsi="Arial" w:cs="Arial"/>
          <w:b/>
          <w:bCs/>
          <w:color w:val="000000"/>
          <w:sz w:val="24"/>
          <w:szCs w:val="24"/>
        </w:rPr>
        <w:t>一、</w:t>
      </w:r>
      <w:r>
        <w:rPr>
          <w:rFonts w:ascii="Arial" w:hAnsi="Arial" w:cs="Arial"/>
          <w:b/>
          <w:bCs/>
          <w:color w:val="000000"/>
          <w:sz w:val="24"/>
          <w:szCs w:val="24"/>
        </w:rPr>
        <w:t>文题：</w:t>
      </w:r>
      <w:r>
        <w:rPr>
          <w:rFonts w:ascii="Arial" w:hAnsi="Arial" w:cs="Arial"/>
          <w:color w:val="000000"/>
          <w:sz w:val="24"/>
          <w:szCs w:val="24"/>
        </w:rPr>
        <w:t>文题与各级标题一般不超过20个字。</w:t>
      </w:r>
      <w:r>
        <w:rPr>
          <w:rFonts w:ascii="Arial" w:hAnsi="Arial" w:cs="Arial"/>
          <w:color w:val="000000"/>
          <w:sz w:val="24"/>
          <w:szCs w:val="24"/>
        </w:rPr>
        <w:br w:type="textWrapping"/>
      </w:r>
      <w:r>
        <w:rPr>
          <w:rFonts w:hint="eastAsia" w:ascii="Arial" w:hAnsi="Arial" w:cs="Arial"/>
          <w:b/>
          <w:bCs/>
          <w:color w:val="000000"/>
          <w:sz w:val="24"/>
          <w:szCs w:val="24"/>
        </w:rPr>
        <w:t>二、</w:t>
      </w:r>
      <w:r>
        <w:rPr>
          <w:rFonts w:ascii="Arial" w:hAnsi="Arial" w:cs="Arial"/>
          <w:b/>
          <w:bCs/>
          <w:color w:val="000000"/>
          <w:sz w:val="24"/>
          <w:szCs w:val="24"/>
        </w:rPr>
        <w:t>作者署名</w:t>
      </w:r>
      <w:r>
        <w:rPr>
          <w:rFonts w:ascii="Arial" w:hAnsi="Arial" w:cs="Arial"/>
          <w:color w:val="000000"/>
          <w:sz w:val="24"/>
          <w:szCs w:val="24"/>
        </w:rPr>
        <w:t>：要求用真实姓名，多位作者署名一般不超过3人；多于3人者可在页下注明。</w:t>
      </w:r>
      <w:r>
        <w:rPr>
          <w:rFonts w:ascii="Arial" w:hAnsi="Arial" w:cs="Arial"/>
          <w:color w:val="000000"/>
          <w:sz w:val="24"/>
          <w:szCs w:val="24"/>
        </w:rPr>
        <w:br w:type="textWrapping"/>
      </w:r>
      <w:r>
        <w:rPr>
          <w:rFonts w:hint="eastAsia" w:ascii="Arial" w:hAnsi="Arial" w:cs="Arial"/>
          <w:b/>
          <w:bCs/>
          <w:color w:val="000000"/>
          <w:sz w:val="24"/>
          <w:szCs w:val="24"/>
        </w:rPr>
        <w:t>三、</w:t>
      </w:r>
      <w:r>
        <w:rPr>
          <w:rFonts w:ascii="Arial" w:hAnsi="Arial" w:cs="Arial"/>
          <w:b/>
          <w:bCs/>
          <w:color w:val="000000"/>
          <w:sz w:val="24"/>
          <w:szCs w:val="24"/>
        </w:rPr>
        <w:t>作者简况：</w:t>
      </w:r>
      <w:r>
        <w:rPr>
          <w:rFonts w:ascii="Arial" w:hAnsi="Arial" w:cs="Arial"/>
          <w:color w:val="000000"/>
          <w:sz w:val="24"/>
          <w:szCs w:val="24"/>
        </w:rPr>
        <w:t>包括作者单位全称、所在</w:t>
      </w:r>
      <w:r>
        <w:rPr>
          <w:rFonts w:hint="eastAsia" w:ascii="Arial" w:hAnsi="Arial" w:cs="Arial"/>
          <w:color w:val="000000"/>
          <w:sz w:val="24"/>
          <w:szCs w:val="24"/>
        </w:rPr>
        <w:t>省</w:t>
      </w:r>
      <w:r>
        <w:rPr>
          <w:rFonts w:ascii="Arial" w:hAnsi="Arial" w:cs="Arial"/>
          <w:color w:val="000000"/>
          <w:sz w:val="24"/>
          <w:szCs w:val="24"/>
        </w:rPr>
        <w:t>市、邮编、性别、年龄、职称(或职务)及所从事的工作或研究方向。</w:t>
      </w:r>
      <w:r>
        <w:rPr>
          <w:rFonts w:hint="eastAsia" w:ascii="Arial" w:hAnsi="Arial" w:cs="Arial"/>
          <w:color w:val="000000"/>
          <w:sz w:val="24"/>
          <w:szCs w:val="24"/>
        </w:rPr>
        <w:t>“基金项目”放在首页页脚（word 中操作：插入“脚注和尾注”），给出项目编号。</w:t>
      </w:r>
    </w:p>
    <w:p>
      <w:pPr>
        <w:spacing w:line="360" w:lineRule="auto"/>
        <w:jc w:val="left"/>
        <w:rPr>
          <w:rFonts w:ascii="Arial" w:hAnsi="Arial" w:cs="Arial"/>
          <w:color w:val="000000"/>
          <w:sz w:val="24"/>
          <w:szCs w:val="24"/>
        </w:rPr>
      </w:pPr>
      <w:r>
        <w:rPr>
          <w:rFonts w:hint="eastAsia" w:ascii="Arial" w:hAnsi="Arial" w:cs="Arial"/>
          <w:b/>
          <w:bCs/>
          <w:color w:val="000000"/>
          <w:sz w:val="24"/>
          <w:szCs w:val="24"/>
        </w:rPr>
        <w:t>四、</w:t>
      </w:r>
      <w:r>
        <w:rPr>
          <w:rFonts w:ascii="Arial" w:hAnsi="Arial" w:cs="Arial"/>
          <w:b/>
          <w:bCs/>
          <w:color w:val="000000"/>
          <w:sz w:val="24"/>
          <w:szCs w:val="24"/>
        </w:rPr>
        <w:t>中文摘要：</w:t>
      </w:r>
      <w:r>
        <w:rPr>
          <w:rFonts w:ascii="Arial" w:hAnsi="Arial" w:cs="Arial"/>
          <w:color w:val="000000"/>
          <w:sz w:val="24"/>
          <w:szCs w:val="24"/>
        </w:rPr>
        <w:t>一般为200～300字，用第三人称对全文内容进行准确概括，包括研究目的、方法、结论等，不用“本文”、“笔者”等主语。</w:t>
      </w:r>
      <w:r>
        <w:rPr>
          <w:rFonts w:ascii="Arial" w:hAnsi="Arial" w:cs="Arial"/>
          <w:color w:val="000000"/>
          <w:sz w:val="24"/>
          <w:szCs w:val="24"/>
        </w:rPr>
        <w:br w:type="textWrapping"/>
      </w:r>
      <w:r>
        <w:rPr>
          <w:rFonts w:hint="eastAsia" w:ascii="Arial" w:hAnsi="Arial" w:cs="Arial"/>
          <w:b/>
          <w:bCs/>
          <w:color w:val="000000"/>
          <w:sz w:val="24"/>
          <w:szCs w:val="24"/>
        </w:rPr>
        <w:t>五、</w:t>
      </w:r>
      <w:r>
        <w:rPr>
          <w:rFonts w:ascii="Arial" w:hAnsi="Arial" w:cs="Arial"/>
          <w:b/>
          <w:bCs/>
          <w:color w:val="000000"/>
          <w:sz w:val="24"/>
          <w:szCs w:val="24"/>
        </w:rPr>
        <w:t>关键词：</w:t>
      </w:r>
      <w:r>
        <w:rPr>
          <w:rFonts w:ascii="Arial" w:hAnsi="Arial" w:cs="Arial"/>
          <w:color w:val="000000"/>
          <w:sz w:val="24"/>
          <w:szCs w:val="24"/>
        </w:rPr>
        <w:t>3～</w:t>
      </w:r>
      <w:r>
        <w:rPr>
          <w:rFonts w:hint="eastAsia" w:ascii="Arial" w:hAnsi="Arial" w:cs="Arial"/>
          <w:color w:val="000000"/>
          <w:sz w:val="24"/>
          <w:szCs w:val="24"/>
        </w:rPr>
        <w:t>5</w:t>
      </w:r>
      <w:r>
        <w:rPr>
          <w:rFonts w:ascii="Arial" w:hAnsi="Arial" w:cs="Arial"/>
          <w:color w:val="000000"/>
          <w:sz w:val="24"/>
          <w:szCs w:val="24"/>
        </w:rPr>
        <w:t>个能反映文章主要内容的词或词组</w:t>
      </w:r>
      <w:r>
        <w:rPr>
          <w:rFonts w:hint="eastAsia" w:ascii="Arial" w:hAnsi="Arial" w:cs="Arial"/>
          <w:color w:val="000000"/>
          <w:sz w:val="24"/>
          <w:szCs w:val="24"/>
        </w:rPr>
        <w:t>，关键词用分号隔开</w:t>
      </w:r>
      <w:r>
        <w:rPr>
          <w:rFonts w:ascii="Arial" w:hAnsi="Arial" w:cs="Arial"/>
          <w:color w:val="000000"/>
          <w:sz w:val="24"/>
          <w:szCs w:val="24"/>
        </w:rPr>
        <w:t>。</w:t>
      </w:r>
      <w:r>
        <w:rPr>
          <w:rFonts w:ascii="Arial" w:hAnsi="Arial" w:cs="Arial"/>
          <w:color w:val="000000"/>
          <w:sz w:val="24"/>
          <w:szCs w:val="24"/>
        </w:rPr>
        <w:br w:type="textWrapping"/>
      </w:r>
      <w:r>
        <w:rPr>
          <w:rFonts w:hint="eastAsia" w:ascii="Arial" w:hAnsi="Arial" w:cs="Arial"/>
          <w:b/>
          <w:bCs/>
          <w:color w:val="000000"/>
          <w:sz w:val="24"/>
          <w:szCs w:val="24"/>
        </w:rPr>
        <w:t>六、</w:t>
      </w:r>
      <w:r>
        <w:rPr>
          <w:rFonts w:ascii="Arial" w:hAnsi="Arial" w:cs="Arial"/>
          <w:b/>
          <w:bCs/>
          <w:color w:val="000000"/>
          <w:sz w:val="24"/>
          <w:szCs w:val="24"/>
        </w:rPr>
        <w:t>正文：</w:t>
      </w:r>
      <w:r>
        <w:rPr>
          <w:rFonts w:ascii="Arial" w:hAnsi="Arial" w:cs="Arial"/>
          <w:color w:val="000000"/>
          <w:sz w:val="24"/>
          <w:szCs w:val="24"/>
        </w:rPr>
        <w:t>来稿字数视题材大小与质量，一般控制在10000字以内。标题一般分为三级，第一级标题用“一、二、三、…”表示；第二级标题 用“1. 2. 3. …”表示；第三级标题用“(1)(2)(3)…”表示。 </w:t>
      </w:r>
      <w:r>
        <w:rPr>
          <w:rFonts w:hint="eastAsia" w:ascii="Arial" w:hAnsi="Arial" w:cs="Arial"/>
          <w:color w:val="000000"/>
          <w:sz w:val="24"/>
          <w:szCs w:val="24"/>
        </w:rPr>
        <w:t>正文必要的解释说明，用上标“</w:t>
      </w:r>
      <w:r>
        <w:rPr>
          <w:rFonts w:hint="eastAsia" w:ascii="Arial" w:hAnsi="Arial" w:cs="Arial"/>
          <w:color w:val="000000"/>
          <w:sz w:val="24"/>
          <w:szCs w:val="24"/>
          <w:vertAlign w:val="superscript"/>
        </w:rPr>
        <w:t>①</w:t>
      </w:r>
      <w:r>
        <w:rPr>
          <w:rFonts w:hint="eastAsia" w:ascii="Arial" w:hAnsi="Arial" w:cs="Arial"/>
          <w:color w:val="000000"/>
          <w:sz w:val="24"/>
          <w:szCs w:val="24"/>
        </w:rPr>
        <w:t>”在文中脚注。</w:t>
      </w:r>
    </w:p>
    <w:p>
      <w:pPr>
        <w:numPr>
          <w:ilvl w:val="0"/>
          <w:numId w:val="1"/>
        </w:numPr>
        <w:spacing w:line="360" w:lineRule="auto"/>
        <w:jc w:val="left"/>
        <w:rPr>
          <w:rFonts w:hint="eastAsia" w:ascii="Arial" w:hAnsi="Arial" w:cs="Arial"/>
          <w:b/>
          <w:bCs/>
          <w:color w:val="000000"/>
          <w:sz w:val="24"/>
          <w:szCs w:val="24"/>
        </w:rPr>
      </w:pPr>
      <w:r>
        <w:rPr>
          <w:rFonts w:hint="eastAsia" w:ascii="Arial" w:hAnsi="Arial" w:cs="Arial"/>
          <w:b/>
          <w:bCs/>
          <w:color w:val="000000"/>
          <w:sz w:val="24"/>
          <w:szCs w:val="24"/>
        </w:rPr>
        <w:t>参考文献：</w:t>
      </w:r>
    </w:p>
    <w:p>
      <w:pPr>
        <w:numPr>
          <w:ilvl w:val="0"/>
          <w:numId w:val="2"/>
        </w:numPr>
        <w:spacing w:line="360" w:lineRule="auto"/>
        <w:ind w:firstLine="420"/>
        <w:jc w:val="left"/>
        <w:rPr>
          <w:rFonts w:hint="eastAsia" w:ascii="Arial" w:hAnsi="Arial" w:cs="Arial"/>
          <w:color w:val="000000"/>
          <w:sz w:val="24"/>
          <w:szCs w:val="24"/>
        </w:rPr>
      </w:pPr>
      <w:r>
        <w:rPr>
          <w:rFonts w:hint="eastAsia" w:ascii="Arial" w:hAnsi="Arial" w:cs="Arial"/>
          <w:color w:val="000000"/>
          <w:sz w:val="24"/>
          <w:szCs w:val="24"/>
        </w:rPr>
        <w:t>参考文献的顺序按在文中出现的顺序排列。</w:t>
      </w:r>
    </w:p>
    <w:p>
      <w:pPr>
        <w:numPr>
          <w:ilvl w:val="0"/>
          <w:numId w:val="2"/>
        </w:numPr>
        <w:spacing w:line="360" w:lineRule="auto"/>
        <w:ind w:firstLine="420"/>
        <w:jc w:val="left"/>
        <w:rPr>
          <w:rFonts w:hint="eastAsia" w:ascii="Arial" w:hAnsi="Arial" w:cs="Arial"/>
          <w:color w:val="000000"/>
          <w:sz w:val="24"/>
          <w:szCs w:val="24"/>
        </w:rPr>
      </w:pPr>
      <w:r>
        <w:rPr>
          <w:rFonts w:hint="eastAsia" w:ascii="Arial" w:hAnsi="Arial" w:cs="Arial"/>
          <w:color w:val="000000"/>
          <w:sz w:val="24"/>
          <w:szCs w:val="24"/>
        </w:rPr>
        <w:t>参考文献在正文中用上标标注，</w:t>
      </w:r>
      <w:r>
        <w:rPr>
          <w:rFonts w:hint="eastAsia"/>
        </w:rPr>
        <w:t>如：</w:t>
      </w:r>
      <w:r>
        <w:rPr>
          <w:rFonts w:hint="eastAsia"/>
          <w:sz w:val="24"/>
          <w:vertAlign w:val="superscript"/>
        </w:rPr>
        <w:t>[1]</w:t>
      </w:r>
      <w:r>
        <w:rPr>
          <w:rFonts w:hint="eastAsia"/>
          <w:sz w:val="24"/>
        </w:rPr>
        <w:t>、</w:t>
      </w:r>
      <w:r>
        <w:rPr>
          <w:rFonts w:hint="eastAsia"/>
          <w:sz w:val="24"/>
          <w:vertAlign w:val="superscript"/>
        </w:rPr>
        <w:t>[1,5,8]</w:t>
      </w:r>
      <w:r>
        <w:rPr>
          <w:rFonts w:hint="eastAsia"/>
          <w:sz w:val="24"/>
        </w:rPr>
        <w:t>、</w:t>
      </w:r>
      <w:r>
        <w:rPr>
          <w:rFonts w:hint="eastAsia"/>
          <w:sz w:val="24"/>
          <w:vertAlign w:val="superscript"/>
        </w:rPr>
        <w:t>[2-5]</w:t>
      </w:r>
      <w:r>
        <w:rPr>
          <w:rFonts w:hint="eastAsia"/>
          <w:sz w:val="24"/>
        </w:rPr>
        <w:t>，</w:t>
      </w:r>
      <w:r>
        <w:rPr>
          <w:rFonts w:hint="eastAsia" w:ascii="Arial" w:hAnsi="Arial" w:cs="Arial"/>
          <w:color w:val="000000"/>
          <w:sz w:val="24"/>
          <w:szCs w:val="24"/>
        </w:rPr>
        <w:t>标于标点符号前，并在文尾参考文献条标注引文页码。单一著作多次引用须在正文标注页码，如“</w:t>
      </w:r>
      <w:r>
        <w:rPr>
          <w:rFonts w:hint="eastAsia" w:ascii="Arial" w:hAnsi="Arial" w:cs="Arial"/>
          <w:color w:val="000000"/>
          <w:sz w:val="24"/>
          <w:szCs w:val="24"/>
          <w:vertAlign w:val="superscript"/>
        </w:rPr>
        <w:t>[1]35</w:t>
      </w:r>
      <w:r>
        <w:rPr>
          <w:rFonts w:hint="eastAsia" w:ascii="Arial" w:hAnsi="Arial" w:cs="Arial"/>
          <w:color w:val="000000"/>
          <w:sz w:val="24"/>
          <w:szCs w:val="24"/>
        </w:rPr>
        <w:t>”，参考文献处则无需再标注页码。</w:t>
      </w:r>
    </w:p>
    <w:p>
      <w:pPr>
        <w:numPr>
          <w:ilvl w:val="0"/>
          <w:numId w:val="2"/>
        </w:numPr>
        <w:spacing w:line="360" w:lineRule="auto"/>
        <w:ind w:firstLine="420"/>
        <w:jc w:val="left"/>
        <w:rPr>
          <w:rFonts w:hint="eastAsia" w:ascii="Arial" w:hAnsi="Arial" w:cs="Arial"/>
          <w:color w:val="000000"/>
          <w:sz w:val="24"/>
          <w:szCs w:val="24"/>
        </w:rPr>
      </w:pPr>
      <w:r>
        <w:rPr>
          <w:rFonts w:hint="eastAsia" w:ascii="Arial" w:hAnsi="Arial" w:cs="Arial"/>
          <w:color w:val="000000"/>
          <w:sz w:val="24"/>
          <w:szCs w:val="24"/>
        </w:rPr>
        <w:t>不能一行结束的文献条目，续行缩进、与第一行序号后的文字开头对齐；文字与序号间空一格。</w:t>
      </w:r>
    </w:p>
    <w:p>
      <w:pPr>
        <w:numPr>
          <w:ilvl w:val="0"/>
          <w:numId w:val="2"/>
        </w:numPr>
        <w:spacing w:line="360" w:lineRule="auto"/>
        <w:ind w:firstLine="420"/>
        <w:jc w:val="left"/>
        <w:rPr>
          <w:rFonts w:hint="eastAsia" w:ascii="Arial" w:hAnsi="Arial" w:cs="Arial"/>
          <w:color w:val="000000"/>
          <w:sz w:val="24"/>
          <w:szCs w:val="24"/>
        </w:rPr>
      </w:pPr>
      <w:r>
        <w:rPr>
          <w:rFonts w:hint="eastAsia" w:ascii="Arial" w:hAnsi="Arial" w:cs="Arial"/>
          <w:color w:val="000000"/>
          <w:sz w:val="24"/>
          <w:szCs w:val="24"/>
        </w:rPr>
        <w:t>人名一律姓前，名后，外国名的姓用全称，名可缩写为首字母(大写)，不加缩写点，姓与名之间空格即可(见后文样张[7]、[8]、[9])。</w:t>
      </w:r>
    </w:p>
    <w:p>
      <w:pPr>
        <w:numPr>
          <w:ilvl w:val="0"/>
          <w:numId w:val="2"/>
        </w:numPr>
        <w:spacing w:line="360" w:lineRule="auto"/>
        <w:ind w:firstLine="420"/>
        <w:jc w:val="left"/>
        <w:rPr>
          <w:rFonts w:hint="eastAsia" w:ascii="Arial" w:hAnsi="Arial" w:cs="Arial"/>
          <w:color w:val="000000"/>
          <w:sz w:val="24"/>
          <w:szCs w:val="24"/>
        </w:rPr>
      </w:pPr>
      <w:r>
        <w:rPr>
          <w:rFonts w:hint="eastAsia" w:ascii="Arial" w:hAnsi="Arial" w:cs="Arial"/>
          <w:color w:val="000000"/>
          <w:sz w:val="24"/>
          <w:szCs w:val="24"/>
        </w:rPr>
        <w:t>参考文献中作者为3人或少于3人应全部列出，3人以上只列出前3人，后加“，等”或“，et al”。</w:t>
      </w:r>
    </w:p>
    <w:p>
      <w:pPr>
        <w:numPr>
          <w:ilvl w:val="0"/>
          <w:numId w:val="2"/>
        </w:numPr>
        <w:spacing w:line="360" w:lineRule="auto"/>
        <w:ind w:firstLine="420"/>
        <w:jc w:val="left"/>
        <w:rPr>
          <w:rFonts w:hint="eastAsia" w:ascii="Arial" w:hAnsi="Arial" w:cs="Arial"/>
          <w:color w:val="000000"/>
          <w:sz w:val="24"/>
          <w:szCs w:val="24"/>
        </w:rPr>
      </w:pPr>
      <w:r>
        <w:rPr>
          <w:rFonts w:hint="eastAsia" w:ascii="Arial" w:hAnsi="Arial" w:cs="Arial"/>
          <w:color w:val="000000"/>
          <w:sz w:val="24"/>
          <w:szCs w:val="24"/>
        </w:rPr>
        <w:t>未出版，非正式、非公开出版的书、刊等不能作为参考文献。</w:t>
      </w:r>
    </w:p>
    <w:p>
      <w:pPr>
        <w:numPr>
          <w:ilvl w:val="0"/>
          <w:numId w:val="2"/>
        </w:numPr>
        <w:spacing w:line="360" w:lineRule="auto"/>
        <w:ind w:firstLine="420"/>
        <w:jc w:val="left"/>
        <w:rPr>
          <w:rFonts w:hint="eastAsia" w:ascii="Arial" w:hAnsi="Arial" w:cs="Arial"/>
          <w:color w:val="000000"/>
          <w:sz w:val="24"/>
          <w:szCs w:val="24"/>
        </w:rPr>
      </w:pPr>
      <w:r>
        <w:rPr>
          <w:rFonts w:hint="eastAsia" w:ascii="Arial" w:hAnsi="Arial" w:cs="Arial"/>
          <w:color w:val="000000"/>
          <w:sz w:val="24"/>
          <w:szCs w:val="24"/>
        </w:rPr>
        <w:t>文献类型和标志代码见表1，电子文献载体和标志代码见表2。</w:t>
      </w:r>
    </w:p>
    <w:p>
      <w:pPr>
        <w:pStyle w:val="3"/>
        <w:jc w:val="center"/>
        <w:rPr>
          <w:rFonts w:hint="eastAsia"/>
        </w:rPr>
      </w:pPr>
      <w:r>
        <w:rPr>
          <w:rFonts w:hint="eastAsia" w:ascii="黑体" w:eastAsia="黑体"/>
        </w:rPr>
        <w:t>表1  文献类型和标志代码</w:t>
      </w:r>
    </w:p>
    <w:tbl>
      <w:tblPr>
        <w:tblStyle w:val="12"/>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703"/>
        <w:gridCol w:w="836"/>
        <w:gridCol w:w="590"/>
        <w:gridCol w:w="613"/>
        <w:gridCol w:w="614"/>
        <w:gridCol w:w="613"/>
        <w:gridCol w:w="614"/>
        <w:gridCol w:w="613"/>
        <w:gridCol w:w="613"/>
        <w:gridCol w:w="761"/>
        <w:gridCol w:w="1000"/>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666" w:type="dxa"/>
            <w:noWrap w:val="0"/>
            <w:vAlign w:val="center"/>
          </w:tcPr>
          <w:p>
            <w:pPr>
              <w:pStyle w:val="3"/>
              <w:jc w:val="center"/>
              <w:rPr>
                <w:rFonts w:hint="eastAsia"/>
                <w:sz w:val="18"/>
              </w:rPr>
            </w:pPr>
            <w:r>
              <w:rPr>
                <w:rFonts w:hint="eastAsia"/>
                <w:sz w:val="18"/>
              </w:rPr>
              <w:t>文献</w:t>
            </w:r>
          </w:p>
          <w:p>
            <w:pPr>
              <w:pStyle w:val="3"/>
              <w:jc w:val="center"/>
              <w:rPr>
                <w:rFonts w:hint="eastAsia"/>
                <w:sz w:val="18"/>
              </w:rPr>
            </w:pPr>
            <w:r>
              <w:rPr>
                <w:rFonts w:hint="eastAsia"/>
                <w:sz w:val="18"/>
              </w:rPr>
              <w:t>类型</w:t>
            </w:r>
          </w:p>
        </w:tc>
        <w:tc>
          <w:tcPr>
            <w:tcW w:w="703" w:type="dxa"/>
            <w:noWrap w:val="0"/>
            <w:vAlign w:val="center"/>
          </w:tcPr>
          <w:p>
            <w:pPr>
              <w:pStyle w:val="3"/>
              <w:ind w:left="36"/>
              <w:jc w:val="center"/>
              <w:rPr>
                <w:rFonts w:hint="eastAsia"/>
                <w:sz w:val="18"/>
              </w:rPr>
            </w:pPr>
            <w:r>
              <w:rPr>
                <w:rFonts w:hint="eastAsia"/>
                <w:sz w:val="18"/>
              </w:rPr>
              <w:t>普通图书</w:t>
            </w:r>
          </w:p>
        </w:tc>
        <w:tc>
          <w:tcPr>
            <w:tcW w:w="836" w:type="dxa"/>
            <w:noWrap w:val="0"/>
            <w:vAlign w:val="center"/>
          </w:tcPr>
          <w:p>
            <w:pPr>
              <w:pStyle w:val="3"/>
              <w:jc w:val="center"/>
              <w:rPr>
                <w:rFonts w:hint="eastAsia"/>
                <w:sz w:val="18"/>
              </w:rPr>
            </w:pPr>
            <w:r>
              <w:rPr>
                <w:rFonts w:hint="eastAsia"/>
                <w:sz w:val="18"/>
              </w:rPr>
              <w:t>论文集</w:t>
            </w:r>
          </w:p>
        </w:tc>
        <w:tc>
          <w:tcPr>
            <w:tcW w:w="590" w:type="dxa"/>
            <w:noWrap w:val="0"/>
            <w:vAlign w:val="center"/>
          </w:tcPr>
          <w:p>
            <w:pPr>
              <w:pStyle w:val="3"/>
              <w:jc w:val="center"/>
              <w:rPr>
                <w:rFonts w:hint="eastAsia"/>
                <w:sz w:val="18"/>
              </w:rPr>
            </w:pPr>
            <w:r>
              <w:rPr>
                <w:rFonts w:hint="eastAsia"/>
                <w:sz w:val="18"/>
              </w:rPr>
              <w:t>报纸</w:t>
            </w:r>
          </w:p>
        </w:tc>
        <w:tc>
          <w:tcPr>
            <w:tcW w:w="613" w:type="dxa"/>
            <w:noWrap w:val="0"/>
            <w:vAlign w:val="center"/>
          </w:tcPr>
          <w:p>
            <w:pPr>
              <w:pStyle w:val="3"/>
              <w:jc w:val="center"/>
              <w:rPr>
                <w:rFonts w:hint="eastAsia"/>
                <w:sz w:val="18"/>
              </w:rPr>
            </w:pPr>
            <w:r>
              <w:rPr>
                <w:rFonts w:hint="eastAsia"/>
                <w:sz w:val="18"/>
              </w:rPr>
              <w:t>期刊</w:t>
            </w:r>
          </w:p>
        </w:tc>
        <w:tc>
          <w:tcPr>
            <w:tcW w:w="614" w:type="dxa"/>
            <w:noWrap w:val="0"/>
            <w:vAlign w:val="center"/>
          </w:tcPr>
          <w:p>
            <w:pPr>
              <w:pStyle w:val="3"/>
              <w:jc w:val="center"/>
              <w:rPr>
                <w:rFonts w:hint="eastAsia"/>
                <w:sz w:val="18"/>
              </w:rPr>
            </w:pPr>
            <w:r>
              <w:rPr>
                <w:rFonts w:hint="eastAsia"/>
                <w:sz w:val="18"/>
              </w:rPr>
              <w:t>学位</w:t>
            </w:r>
          </w:p>
          <w:p>
            <w:pPr>
              <w:pStyle w:val="3"/>
              <w:jc w:val="center"/>
              <w:rPr>
                <w:rFonts w:hint="eastAsia"/>
                <w:sz w:val="18"/>
              </w:rPr>
            </w:pPr>
            <w:r>
              <w:rPr>
                <w:rFonts w:hint="eastAsia"/>
                <w:sz w:val="18"/>
              </w:rPr>
              <w:t>论文</w:t>
            </w:r>
          </w:p>
        </w:tc>
        <w:tc>
          <w:tcPr>
            <w:tcW w:w="613" w:type="dxa"/>
            <w:noWrap w:val="0"/>
            <w:vAlign w:val="center"/>
          </w:tcPr>
          <w:p>
            <w:pPr>
              <w:pStyle w:val="3"/>
              <w:jc w:val="center"/>
              <w:rPr>
                <w:rFonts w:hint="eastAsia"/>
                <w:sz w:val="18"/>
              </w:rPr>
            </w:pPr>
            <w:r>
              <w:rPr>
                <w:rFonts w:hint="eastAsia"/>
                <w:sz w:val="18"/>
              </w:rPr>
              <w:t>汇编</w:t>
            </w:r>
          </w:p>
        </w:tc>
        <w:tc>
          <w:tcPr>
            <w:tcW w:w="614" w:type="dxa"/>
            <w:noWrap w:val="0"/>
            <w:vAlign w:val="center"/>
          </w:tcPr>
          <w:p>
            <w:pPr>
              <w:pStyle w:val="3"/>
              <w:jc w:val="center"/>
              <w:rPr>
                <w:rFonts w:hint="eastAsia"/>
                <w:sz w:val="18"/>
              </w:rPr>
            </w:pPr>
            <w:r>
              <w:rPr>
                <w:rFonts w:hint="eastAsia"/>
                <w:sz w:val="18"/>
              </w:rPr>
              <w:t>专利</w:t>
            </w:r>
          </w:p>
        </w:tc>
        <w:tc>
          <w:tcPr>
            <w:tcW w:w="613" w:type="dxa"/>
            <w:noWrap w:val="0"/>
            <w:vAlign w:val="center"/>
          </w:tcPr>
          <w:p>
            <w:pPr>
              <w:pStyle w:val="3"/>
              <w:jc w:val="center"/>
              <w:rPr>
                <w:rFonts w:hint="eastAsia"/>
                <w:sz w:val="18"/>
              </w:rPr>
            </w:pPr>
            <w:r>
              <w:rPr>
                <w:rFonts w:hint="eastAsia"/>
                <w:sz w:val="18"/>
              </w:rPr>
              <w:t>标准</w:t>
            </w:r>
          </w:p>
        </w:tc>
        <w:tc>
          <w:tcPr>
            <w:tcW w:w="613" w:type="dxa"/>
            <w:noWrap w:val="0"/>
            <w:vAlign w:val="center"/>
          </w:tcPr>
          <w:p>
            <w:pPr>
              <w:pStyle w:val="3"/>
              <w:jc w:val="center"/>
              <w:rPr>
                <w:rFonts w:hint="eastAsia"/>
                <w:sz w:val="18"/>
              </w:rPr>
            </w:pPr>
            <w:r>
              <w:rPr>
                <w:rFonts w:hint="eastAsia"/>
                <w:sz w:val="18"/>
              </w:rPr>
              <w:t>报告</w:t>
            </w:r>
          </w:p>
        </w:tc>
        <w:tc>
          <w:tcPr>
            <w:tcW w:w="761" w:type="dxa"/>
            <w:noWrap w:val="0"/>
            <w:vAlign w:val="center"/>
          </w:tcPr>
          <w:p>
            <w:pPr>
              <w:pStyle w:val="3"/>
              <w:jc w:val="center"/>
              <w:rPr>
                <w:rFonts w:hint="eastAsia"/>
                <w:sz w:val="18"/>
              </w:rPr>
            </w:pPr>
            <w:r>
              <w:rPr>
                <w:rFonts w:hint="eastAsia"/>
                <w:sz w:val="18"/>
              </w:rPr>
              <w:t>数据库</w:t>
            </w:r>
          </w:p>
        </w:tc>
        <w:tc>
          <w:tcPr>
            <w:tcW w:w="1000" w:type="dxa"/>
            <w:noWrap w:val="0"/>
            <w:vAlign w:val="center"/>
          </w:tcPr>
          <w:p>
            <w:pPr>
              <w:pStyle w:val="3"/>
              <w:jc w:val="center"/>
              <w:rPr>
                <w:rFonts w:hint="eastAsia"/>
                <w:sz w:val="18"/>
              </w:rPr>
            </w:pPr>
            <w:r>
              <w:rPr>
                <w:rFonts w:hint="eastAsia"/>
                <w:sz w:val="18"/>
              </w:rPr>
              <w:t>计算机</w:t>
            </w:r>
          </w:p>
          <w:p>
            <w:pPr>
              <w:pStyle w:val="3"/>
              <w:jc w:val="center"/>
              <w:rPr>
                <w:rFonts w:hint="eastAsia"/>
                <w:sz w:val="18"/>
              </w:rPr>
            </w:pPr>
            <w:r>
              <w:rPr>
                <w:rFonts w:hint="eastAsia"/>
                <w:sz w:val="18"/>
              </w:rPr>
              <w:t>程序</w:t>
            </w:r>
          </w:p>
        </w:tc>
        <w:tc>
          <w:tcPr>
            <w:tcW w:w="614" w:type="dxa"/>
            <w:noWrap w:val="0"/>
            <w:vAlign w:val="center"/>
          </w:tcPr>
          <w:p>
            <w:pPr>
              <w:pStyle w:val="3"/>
              <w:jc w:val="center"/>
              <w:rPr>
                <w:rFonts w:hint="eastAsia"/>
                <w:sz w:val="18"/>
              </w:rPr>
            </w:pPr>
            <w:r>
              <w:rPr>
                <w:rFonts w:hint="eastAsia"/>
                <w:sz w:val="18"/>
              </w:rPr>
              <w:t>电子公告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666" w:type="dxa"/>
            <w:noWrap w:val="0"/>
            <w:vAlign w:val="center"/>
          </w:tcPr>
          <w:p>
            <w:pPr>
              <w:pStyle w:val="3"/>
              <w:jc w:val="center"/>
              <w:rPr>
                <w:rFonts w:hint="eastAsia"/>
                <w:sz w:val="18"/>
              </w:rPr>
            </w:pPr>
            <w:r>
              <w:rPr>
                <w:rFonts w:hint="eastAsia"/>
                <w:sz w:val="18"/>
              </w:rPr>
              <w:t>标志</w:t>
            </w:r>
          </w:p>
          <w:p>
            <w:pPr>
              <w:pStyle w:val="3"/>
              <w:jc w:val="center"/>
              <w:rPr>
                <w:rFonts w:hint="eastAsia"/>
                <w:sz w:val="18"/>
              </w:rPr>
            </w:pPr>
            <w:r>
              <w:rPr>
                <w:rFonts w:hint="eastAsia"/>
                <w:sz w:val="18"/>
              </w:rPr>
              <w:t>代码</w:t>
            </w:r>
          </w:p>
        </w:tc>
        <w:tc>
          <w:tcPr>
            <w:tcW w:w="703" w:type="dxa"/>
            <w:noWrap w:val="0"/>
            <w:vAlign w:val="center"/>
          </w:tcPr>
          <w:p>
            <w:pPr>
              <w:pStyle w:val="3"/>
              <w:jc w:val="center"/>
              <w:rPr>
                <w:rFonts w:hint="eastAsia"/>
              </w:rPr>
            </w:pPr>
            <w:r>
              <w:rPr>
                <w:rFonts w:hint="eastAsia"/>
              </w:rPr>
              <w:t>M</w:t>
            </w:r>
          </w:p>
        </w:tc>
        <w:tc>
          <w:tcPr>
            <w:tcW w:w="836" w:type="dxa"/>
            <w:tcBorders>
              <w:bottom w:val="single" w:color="auto" w:sz="4" w:space="0"/>
            </w:tcBorders>
            <w:noWrap w:val="0"/>
            <w:vAlign w:val="center"/>
          </w:tcPr>
          <w:p>
            <w:pPr>
              <w:pStyle w:val="3"/>
              <w:jc w:val="center"/>
              <w:rPr>
                <w:rFonts w:hint="eastAsia"/>
              </w:rPr>
            </w:pPr>
            <w:r>
              <w:rPr>
                <w:rFonts w:hint="eastAsia"/>
              </w:rPr>
              <w:t>C</w:t>
            </w:r>
          </w:p>
        </w:tc>
        <w:tc>
          <w:tcPr>
            <w:tcW w:w="590" w:type="dxa"/>
            <w:tcBorders>
              <w:bottom w:val="single" w:color="auto" w:sz="4" w:space="0"/>
            </w:tcBorders>
            <w:noWrap w:val="0"/>
            <w:vAlign w:val="center"/>
          </w:tcPr>
          <w:p>
            <w:pPr>
              <w:pStyle w:val="3"/>
              <w:jc w:val="center"/>
              <w:rPr>
                <w:rFonts w:hint="eastAsia"/>
              </w:rPr>
            </w:pPr>
            <w:r>
              <w:rPr>
                <w:rFonts w:hint="eastAsia"/>
              </w:rPr>
              <w:t>N</w:t>
            </w:r>
          </w:p>
        </w:tc>
        <w:tc>
          <w:tcPr>
            <w:tcW w:w="613" w:type="dxa"/>
            <w:tcBorders>
              <w:bottom w:val="single" w:color="auto" w:sz="4" w:space="0"/>
            </w:tcBorders>
            <w:noWrap w:val="0"/>
            <w:vAlign w:val="center"/>
          </w:tcPr>
          <w:p>
            <w:pPr>
              <w:pStyle w:val="3"/>
              <w:jc w:val="center"/>
              <w:rPr>
                <w:rFonts w:hint="eastAsia"/>
              </w:rPr>
            </w:pPr>
            <w:r>
              <w:rPr>
                <w:rFonts w:hint="eastAsia"/>
              </w:rPr>
              <w:t>J</w:t>
            </w:r>
          </w:p>
        </w:tc>
        <w:tc>
          <w:tcPr>
            <w:tcW w:w="614" w:type="dxa"/>
            <w:tcBorders>
              <w:bottom w:val="single" w:color="auto" w:sz="4" w:space="0"/>
            </w:tcBorders>
            <w:noWrap w:val="0"/>
            <w:vAlign w:val="center"/>
          </w:tcPr>
          <w:p>
            <w:pPr>
              <w:pStyle w:val="3"/>
              <w:jc w:val="center"/>
              <w:rPr>
                <w:rFonts w:hint="eastAsia"/>
              </w:rPr>
            </w:pPr>
            <w:r>
              <w:rPr>
                <w:rFonts w:hint="eastAsia"/>
              </w:rPr>
              <w:t>D</w:t>
            </w:r>
          </w:p>
        </w:tc>
        <w:tc>
          <w:tcPr>
            <w:tcW w:w="613" w:type="dxa"/>
            <w:tcBorders>
              <w:bottom w:val="single" w:color="auto" w:sz="4" w:space="0"/>
            </w:tcBorders>
            <w:noWrap w:val="0"/>
            <w:vAlign w:val="center"/>
          </w:tcPr>
          <w:p>
            <w:pPr>
              <w:pStyle w:val="3"/>
              <w:jc w:val="center"/>
              <w:rPr>
                <w:rFonts w:hint="eastAsia"/>
              </w:rPr>
            </w:pPr>
            <w:r>
              <w:rPr>
                <w:rFonts w:hint="eastAsia"/>
              </w:rPr>
              <w:t>G</w:t>
            </w:r>
          </w:p>
        </w:tc>
        <w:tc>
          <w:tcPr>
            <w:tcW w:w="614" w:type="dxa"/>
            <w:tcBorders>
              <w:bottom w:val="single" w:color="auto" w:sz="4" w:space="0"/>
            </w:tcBorders>
            <w:noWrap w:val="0"/>
            <w:vAlign w:val="center"/>
          </w:tcPr>
          <w:p>
            <w:pPr>
              <w:pStyle w:val="3"/>
              <w:jc w:val="center"/>
              <w:rPr>
                <w:rFonts w:hint="eastAsia"/>
              </w:rPr>
            </w:pPr>
            <w:r>
              <w:rPr>
                <w:rFonts w:hint="eastAsia"/>
              </w:rPr>
              <w:t>P</w:t>
            </w:r>
          </w:p>
        </w:tc>
        <w:tc>
          <w:tcPr>
            <w:tcW w:w="613" w:type="dxa"/>
            <w:tcBorders>
              <w:bottom w:val="single" w:color="auto" w:sz="4" w:space="0"/>
            </w:tcBorders>
            <w:noWrap w:val="0"/>
            <w:vAlign w:val="center"/>
          </w:tcPr>
          <w:p>
            <w:pPr>
              <w:pStyle w:val="3"/>
              <w:jc w:val="center"/>
              <w:rPr>
                <w:rFonts w:hint="eastAsia"/>
              </w:rPr>
            </w:pPr>
            <w:r>
              <w:rPr>
                <w:rFonts w:hint="eastAsia"/>
              </w:rPr>
              <w:t>S</w:t>
            </w:r>
          </w:p>
        </w:tc>
        <w:tc>
          <w:tcPr>
            <w:tcW w:w="613" w:type="dxa"/>
            <w:tcBorders>
              <w:bottom w:val="single" w:color="auto" w:sz="4" w:space="0"/>
            </w:tcBorders>
            <w:noWrap w:val="0"/>
            <w:vAlign w:val="center"/>
          </w:tcPr>
          <w:p>
            <w:pPr>
              <w:pStyle w:val="3"/>
              <w:jc w:val="center"/>
              <w:rPr>
                <w:rFonts w:hint="eastAsia"/>
              </w:rPr>
            </w:pPr>
            <w:r>
              <w:rPr>
                <w:rFonts w:hint="eastAsia"/>
              </w:rPr>
              <w:t>R</w:t>
            </w:r>
          </w:p>
        </w:tc>
        <w:tc>
          <w:tcPr>
            <w:tcW w:w="761" w:type="dxa"/>
            <w:tcBorders>
              <w:bottom w:val="single" w:color="auto" w:sz="4" w:space="0"/>
            </w:tcBorders>
            <w:noWrap w:val="0"/>
            <w:vAlign w:val="center"/>
          </w:tcPr>
          <w:p>
            <w:pPr>
              <w:pStyle w:val="3"/>
              <w:jc w:val="center"/>
              <w:rPr>
                <w:rFonts w:hint="eastAsia"/>
              </w:rPr>
            </w:pPr>
            <w:r>
              <w:rPr>
                <w:rFonts w:hint="eastAsia"/>
              </w:rPr>
              <w:t>DB</w:t>
            </w:r>
          </w:p>
        </w:tc>
        <w:tc>
          <w:tcPr>
            <w:tcW w:w="1000" w:type="dxa"/>
            <w:tcBorders>
              <w:bottom w:val="single" w:color="auto" w:sz="4" w:space="0"/>
            </w:tcBorders>
            <w:noWrap w:val="0"/>
            <w:vAlign w:val="center"/>
          </w:tcPr>
          <w:p>
            <w:pPr>
              <w:pStyle w:val="3"/>
              <w:jc w:val="center"/>
              <w:rPr>
                <w:rFonts w:hint="eastAsia"/>
              </w:rPr>
            </w:pPr>
            <w:r>
              <w:rPr>
                <w:rFonts w:hint="eastAsia"/>
              </w:rPr>
              <w:t>CP</w:t>
            </w:r>
          </w:p>
        </w:tc>
        <w:tc>
          <w:tcPr>
            <w:tcW w:w="614" w:type="dxa"/>
            <w:tcBorders>
              <w:bottom w:val="single" w:color="auto" w:sz="4" w:space="0"/>
            </w:tcBorders>
            <w:noWrap w:val="0"/>
            <w:vAlign w:val="center"/>
          </w:tcPr>
          <w:p>
            <w:pPr>
              <w:pStyle w:val="3"/>
              <w:jc w:val="center"/>
              <w:rPr>
                <w:rFonts w:hint="eastAsia"/>
              </w:rPr>
            </w:pPr>
            <w:r>
              <w:rPr>
                <w:rFonts w:hint="eastAsia"/>
              </w:rPr>
              <w:t>EB</w:t>
            </w:r>
          </w:p>
        </w:tc>
      </w:tr>
    </w:tbl>
    <w:p>
      <w:pPr>
        <w:pStyle w:val="3"/>
        <w:jc w:val="center"/>
        <w:rPr>
          <w:rFonts w:hint="eastAsia" w:ascii="黑体" w:eastAsia="黑体"/>
        </w:rPr>
      </w:pPr>
      <w:r>
        <w:rPr>
          <w:rFonts w:hint="eastAsia" w:ascii="黑体" w:eastAsia="黑体"/>
        </w:rPr>
        <w:t>表2  电子文献载体和标志代码</w:t>
      </w:r>
    </w:p>
    <w:tbl>
      <w:tblPr>
        <w:tblStyle w:val="12"/>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123"/>
        <w:gridCol w:w="1836"/>
        <w:gridCol w:w="179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1442" w:type="dxa"/>
            <w:noWrap w:val="0"/>
            <w:vAlign w:val="center"/>
          </w:tcPr>
          <w:p>
            <w:pPr>
              <w:pStyle w:val="3"/>
              <w:jc w:val="center"/>
              <w:rPr>
                <w:rFonts w:hint="eastAsia"/>
                <w:sz w:val="18"/>
              </w:rPr>
            </w:pPr>
            <w:r>
              <w:rPr>
                <w:rFonts w:hint="eastAsia"/>
                <w:sz w:val="18"/>
              </w:rPr>
              <w:t>载体类型</w:t>
            </w:r>
          </w:p>
        </w:tc>
        <w:tc>
          <w:tcPr>
            <w:tcW w:w="2123" w:type="dxa"/>
            <w:noWrap w:val="0"/>
            <w:vAlign w:val="center"/>
          </w:tcPr>
          <w:p>
            <w:pPr>
              <w:pStyle w:val="3"/>
              <w:jc w:val="center"/>
              <w:rPr>
                <w:rFonts w:hint="eastAsia"/>
                <w:sz w:val="18"/>
              </w:rPr>
            </w:pPr>
            <w:r>
              <w:rPr>
                <w:rFonts w:hint="eastAsia"/>
                <w:sz w:val="18"/>
              </w:rPr>
              <w:t>磁带</w:t>
            </w:r>
          </w:p>
          <w:p>
            <w:pPr>
              <w:pStyle w:val="3"/>
              <w:jc w:val="center"/>
              <w:rPr>
                <w:rFonts w:hint="eastAsia"/>
                <w:sz w:val="18"/>
              </w:rPr>
            </w:pPr>
            <w:r>
              <w:rPr>
                <w:rFonts w:hint="eastAsia"/>
                <w:sz w:val="18"/>
              </w:rPr>
              <w:t>（magnetic tape）</w:t>
            </w:r>
          </w:p>
        </w:tc>
        <w:tc>
          <w:tcPr>
            <w:tcW w:w="1836" w:type="dxa"/>
            <w:noWrap w:val="0"/>
            <w:vAlign w:val="center"/>
          </w:tcPr>
          <w:p>
            <w:pPr>
              <w:pStyle w:val="3"/>
              <w:jc w:val="center"/>
              <w:rPr>
                <w:rFonts w:hint="eastAsia"/>
                <w:sz w:val="18"/>
              </w:rPr>
            </w:pPr>
            <w:r>
              <w:rPr>
                <w:rFonts w:hint="eastAsia"/>
                <w:sz w:val="18"/>
              </w:rPr>
              <w:t>磁盘（disk）</w:t>
            </w:r>
          </w:p>
        </w:tc>
        <w:tc>
          <w:tcPr>
            <w:tcW w:w="1799" w:type="dxa"/>
            <w:noWrap w:val="0"/>
            <w:vAlign w:val="center"/>
          </w:tcPr>
          <w:p>
            <w:pPr>
              <w:pStyle w:val="3"/>
              <w:jc w:val="center"/>
              <w:rPr>
                <w:rFonts w:hint="eastAsia"/>
                <w:sz w:val="18"/>
              </w:rPr>
            </w:pPr>
            <w:r>
              <w:rPr>
                <w:rFonts w:hint="eastAsia"/>
                <w:sz w:val="18"/>
              </w:rPr>
              <w:t>光盘（CD-ROM）</w:t>
            </w:r>
          </w:p>
        </w:tc>
        <w:tc>
          <w:tcPr>
            <w:tcW w:w="1619" w:type="dxa"/>
            <w:noWrap w:val="0"/>
            <w:vAlign w:val="center"/>
          </w:tcPr>
          <w:p>
            <w:pPr>
              <w:pStyle w:val="3"/>
              <w:ind w:left="-143" w:leftChars="-499" w:right="-462" w:rightChars="-220" w:hanging="905" w:hangingChars="503"/>
              <w:jc w:val="center"/>
              <w:rPr>
                <w:rFonts w:hint="eastAsia"/>
                <w:sz w:val="18"/>
              </w:rPr>
            </w:pPr>
            <w:r>
              <w:rPr>
                <w:rFonts w:hint="eastAsia"/>
                <w:sz w:val="18"/>
              </w:rPr>
              <w:t>联机网络</w:t>
            </w:r>
          </w:p>
          <w:p>
            <w:pPr>
              <w:pStyle w:val="3"/>
              <w:ind w:right="-462" w:rightChars="-220"/>
              <w:jc w:val="center"/>
              <w:rPr>
                <w:rFonts w:hint="eastAsia"/>
                <w:sz w:val="18"/>
              </w:rPr>
            </w:pPr>
            <w:r>
              <w:rPr>
                <w:rFonts w:hint="eastAsia"/>
                <w:sz w:val="18"/>
              </w:rPr>
              <w:t>（online）</w:t>
            </w:r>
          </w:p>
        </w:tc>
      </w:tr>
      <w:tr>
        <w:trPr>
          <w:trHeight w:val="411" w:hRule="atLeast"/>
          <w:jc w:val="center"/>
        </w:trPr>
        <w:tc>
          <w:tcPr>
            <w:tcW w:w="1442" w:type="dxa"/>
            <w:noWrap w:val="0"/>
            <w:vAlign w:val="center"/>
          </w:tcPr>
          <w:p>
            <w:pPr>
              <w:pStyle w:val="3"/>
              <w:jc w:val="center"/>
              <w:rPr>
                <w:rFonts w:hint="eastAsia"/>
                <w:sz w:val="18"/>
              </w:rPr>
            </w:pPr>
            <w:r>
              <w:rPr>
                <w:rFonts w:hint="eastAsia"/>
                <w:sz w:val="18"/>
              </w:rPr>
              <w:t>标志代码</w:t>
            </w:r>
          </w:p>
        </w:tc>
        <w:tc>
          <w:tcPr>
            <w:tcW w:w="2123" w:type="dxa"/>
            <w:noWrap w:val="0"/>
            <w:vAlign w:val="center"/>
          </w:tcPr>
          <w:p>
            <w:pPr>
              <w:pStyle w:val="3"/>
              <w:jc w:val="center"/>
              <w:rPr>
                <w:rFonts w:hint="eastAsia"/>
                <w:sz w:val="18"/>
              </w:rPr>
            </w:pPr>
            <w:r>
              <w:rPr>
                <w:rFonts w:hint="eastAsia"/>
                <w:sz w:val="18"/>
              </w:rPr>
              <w:t>MT</w:t>
            </w:r>
          </w:p>
        </w:tc>
        <w:tc>
          <w:tcPr>
            <w:tcW w:w="1836" w:type="dxa"/>
            <w:noWrap w:val="0"/>
            <w:vAlign w:val="center"/>
          </w:tcPr>
          <w:p>
            <w:pPr>
              <w:pStyle w:val="3"/>
              <w:jc w:val="center"/>
              <w:rPr>
                <w:rFonts w:hint="eastAsia"/>
                <w:sz w:val="18"/>
              </w:rPr>
            </w:pPr>
            <w:r>
              <w:rPr>
                <w:rFonts w:hint="eastAsia"/>
                <w:sz w:val="18"/>
              </w:rPr>
              <w:t>DK</w:t>
            </w:r>
          </w:p>
        </w:tc>
        <w:tc>
          <w:tcPr>
            <w:tcW w:w="1799" w:type="dxa"/>
            <w:noWrap w:val="0"/>
            <w:vAlign w:val="center"/>
          </w:tcPr>
          <w:p>
            <w:pPr>
              <w:pStyle w:val="3"/>
              <w:jc w:val="center"/>
              <w:rPr>
                <w:rFonts w:hint="eastAsia"/>
                <w:sz w:val="18"/>
              </w:rPr>
            </w:pPr>
            <w:r>
              <w:rPr>
                <w:rFonts w:hint="eastAsia"/>
                <w:sz w:val="18"/>
              </w:rPr>
              <w:t>CD</w:t>
            </w:r>
          </w:p>
        </w:tc>
        <w:tc>
          <w:tcPr>
            <w:tcW w:w="1619" w:type="dxa"/>
            <w:noWrap w:val="0"/>
            <w:vAlign w:val="center"/>
          </w:tcPr>
          <w:p>
            <w:pPr>
              <w:pStyle w:val="3"/>
              <w:jc w:val="center"/>
              <w:rPr>
                <w:rFonts w:hint="eastAsia"/>
                <w:sz w:val="18"/>
              </w:rPr>
            </w:pPr>
            <w:r>
              <w:rPr>
                <w:rFonts w:hint="eastAsia"/>
                <w:sz w:val="18"/>
              </w:rPr>
              <w:t>OL</w:t>
            </w:r>
          </w:p>
        </w:tc>
      </w:tr>
    </w:tbl>
    <w:p>
      <w:pPr>
        <w:spacing w:line="360" w:lineRule="auto"/>
        <w:jc w:val="left"/>
        <w:rPr>
          <w:rFonts w:hint="eastAsia" w:ascii="Arial" w:hAnsi="Arial" w:cs="Arial"/>
          <w:b/>
          <w:bCs/>
          <w:color w:val="000000"/>
          <w:sz w:val="24"/>
          <w:szCs w:val="24"/>
        </w:rPr>
      </w:pPr>
      <w:r>
        <w:rPr>
          <w:rFonts w:hint="eastAsia" w:ascii="Arial" w:hAnsi="Arial" w:cs="Arial"/>
          <w:b/>
          <w:bCs/>
          <w:color w:val="000000"/>
          <w:sz w:val="24"/>
          <w:szCs w:val="24"/>
        </w:rPr>
        <w:t>八、整篇文档段落设置：</w:t>
      </w:r>
    </w:p>
    <w:p>
      <w:pPr>
        <w:spacing w:line="360" w:lineRule="auto"/>
        <w:ind w:firstLine="420"/>
        <w:jc w:val="left"/>
        <w:rPr>
          <w:rFonts w:hint="eastAsia" w:ascii="Arial" w:hAnsi="Arial" w:cs="Arial"/>
          <w:color w:val="000000"/>
          <w:sz w:val="24"/>
          <w:szCs w:val="24"/>
        </w:rPr>
      </w:pPr>
      <w:r>
        <w:rPr>
          <w:rFonts w:hint="eastAsia" w:ascii="Arial" w:hAnsi="Arial" w:cs="Arial"/>
          <w:color w:val="000000"/>
          <w:sz w:val="24"/>
          <w:szCs w:val="24"/>
        </w:rPr>
        <w:t>1.间距：一级标题段前间距为0.8行、段后为0.5行，其它段前0行，段0行；行距：固定值，20磅。</w:t>
      </w:r>
    </w:p>
    <w:p>
      <w:pPr>
        <w:spacing w:line="360" w:lineRule="auto"/>
        <w:ind w:firstLine="420"/>
        <w:jc w:val="left"/>
        <w:rPr>
          <w:rFonts w:hint="eastAsia" w:ascii="Arial" w:hAnsi="Arial" w:cs="Arial"/>
          <w:color w:val="000000"/>
          <w:sz w:val="24"/>
          <w:szCs w:val="24"/>
        </w:rPr>
      </w:pPr>
      <w:r>
        <w:rPr>
          <w:rFonts w:hint="eastAsia" w:ascii="Arial" w:hAnsi="Arial" w:cs="Arial"/>
          <w:color w:val="000000"/>
          <w:sz w:val="24"/>
          <w:szCs w:val="24"/>
        </w:rPr>
        <w:t>2.选中“如果定义了文档网格，则自动调整右缩进”和“如果定义了文档网格，则与网格对齐”。</w:t>
      </w:r>
    </w:p>
    <w:p>
      <w:pPr>
        <w:spacing w:line="360" w:lineRule="auto"/>
        <w:ind w:firstLine="420"/>
        <w:jc w:val="left"/>
        <w:rPr>
          <w:rFonts w:ascii="Arial" w:hAnsi="Arial" w:cs="Arial"/>
          <w:color w:val="000000"/>
          <w:sz w:val="24"/>
          <w:szCs w:val="24"/>
        </w:rPr>
      </w:pPr>
      <w:r>
        <w:rPr>
          <w:rFonts w:hint="eastAsia" w:ascii="Arial" w:hAnsi="Arial" w:cs="Arial"/>
          <w:color w:val="000000"/>
          <w:sz w:val="24"/>
          <w:szCs w:val="24"/>
        </w:rPr>
        <w:t>3.单位与摘要间、关键词与正文间、正文与参考文献间空1行；图、表前后空1行；各级标题前后不空行。</w:t>
      </w:r>
    </w:p>
    <w:p>
      <w:pPr>
        <w:spacing w:line="360" w:lineRule="auto"/>
        <w:jc w:val="left"/>
        <w:rPr>
          <w:rFonts w:hint="eastAsia" w:ascii="Arial" w:hAnsi="Arial" w:cs="Arial"/>
          <w:b/>
          <w:bCs/>
          <w:color w:val="000000"/>
          <w:sz w:val="24"/>
          <w:szCs w:val="24"/>
        </w:rPr>
      </w:pPr>
      <w:r>
        <w:rPr>
          <w:rFonts w:hint="eastAsia" w:ascii="Arial" w:hAnsi="Arial" w:cs="Arial"/>
          <w:b/>
          <w:bCs/>
          <w:color w:val="000000"/>
          <w:sz w:val="24"/>
          <w:szCs w:val="24"/>
        </w:rPr>
        <w:t>九、字体和字号：</w:t>
      </w:r>
      <w:r>
        <w:rPr>
          <w:rFonts w:hint="eastAsia" w:ascii="Arial" w:hAnsi="Arial" w:cs="Arial"/>
          <w:color w:val="000000"/>
          <w:sz w:val="24"/>
          <w:szCs w:val="24"/>
        </w:rPr>
        <w:t>见后文“格式样张”红色标示部分。</w:t>
      </w:r>
    </w:p>
    <w:p>
      <w:pPr>
        <w:spacing w:line="360" w:lineRule="auto"/>
        <w:jc w:val="left"/>
        <w:rPr>
          <w:rFonts w:hint="eastAsia" w:ascii="Arial" w:hAnsi="Arial" w:cs="Arial"/>
          <w:b/>
          <w:bCs/>
          <w:color w:val="000000"/>
          <w:sz w:val="24"/>
          <w:szCs w:val="24"/>
        </w:rPr>
      </w:pPr>
      <w:r>
        <w:rPr>
          <w:rFonts w:hint="eastAsia" w:ascii="Arial" w:hAnsi="Arial" w:cs="Arial"/>
          <w:b/>
          <w:bCs/>
          <w:color w:val="000000"/>
          <w:sz w:val="24"/>
          <w:szCs w:val="24"/>
        </w:rPr>
        <w:t>十、表、图、公式等格式：</w:t>
      </w:r>
    </w:p>
    <w:p>
      <w:pPr>
        <w:spacing w:line="360" w:lineRule="auto"/>
        <w:ind w:firstLine="420"/>
        <w:jc w:val="left"/>
        <w:rPr>
          <w:rFonts w:hint="eastAsia" w:ascii="Arial" w:hAnsi="Arial" w:cs="Arial"/>
          <w:color w:val="000000"/>
          <w:sz w:val="24"/>
          <w:szCs w:val="24"/>
        </w:rPr>
      </w:pPr>
      <w:r>
        <w:rPr>
          <w:rFonts w:hint="eastAsia" w:ascii="Arial" w:hAnsi="Arial" w:cs="Arial"/>
          <w:b/>
          <w:bCs/>
          <w:color w:val="000000"/>
          <w:sz w:val="24"/>
          <w:szCs w:val="24"/>
        </w:rPr>
        <w:t>1.表格式：</w:t>
      </w:r>
      <w:r>
        <w:rPr>
          <w:rFonts w:hint="eastAsia" w:ascii="Arial" w:hAnsi="Arial" w:cs="Arial"/>
          <w:color w:val="000000"/>
          <w:sz w:val="24"/>
          <w:szCs w:val="24"/>
        </w:rPr>
        <w:t>（1）采用三线表。（2）标题位置在表格上方。（3）表序与表题之间空2 格，其间不用任何点号。（4）表身内无数字的栏内，应区别情况对待。“空白”代表未测或未发现，“—”（一字线）或“⋯”代表无此项（即客观上不存在），“0”代表实测结果为零。（5）先见文字叙述，后见表格。（6）表不要与文字混排，表单独通栏排。</w:t>
      </w:r>
    </w:p>
    <w:p>
      <w:pPr>
        <w:spacing w:line="360" w:lineRule="auto"/>
        <w:ind w:firstLine="420"/>
        <w:jc w:val="left"/>
        <w:rPr>
          <w:rFonts w:hint="eastAsia" w:ascii="Arial" w:hAnsi="Arial" w:cs="Arial"/>
          <w:color w:val="000000"/>
          <w:sz w:val="24"/>
          <w:szCs w:val="24"/>
        </w:rPr>
      </w:pPr>
      <w:r>
        <w:rPr>
          <w:rFonts w:hint="eastAsia" w:ascii="Arial" w:hAnsi="Arial" w:cs="Arial"/>
          <w:b/>
          <w:bCs/>
          <w:color w:val="000000"/>
          <w:sz w:val="24"/>
          <w:szCs w:val="24"/>
        </w:rPr>
        <w:t>2.图格式：</w:t>
      </w:r>
      <w:r>
        <w:rPr>
          <w:rFonts w:hint="eastAsia" w:ascii="Arial" w:hAnsi="Arial" w:cs="Arial"/>
          <w:color w:val="000000"/>
          <w:sz w:val="24"/>
          <w:szCs w:val="24"/>
        </w:rPr>
        <w:t>（1）图序和图题排在图的下方，整幅图左右居中，其总体长度不超过图面的宽度；否则图题应转行排。（2）图序与图题间空2 格，其间不用任何点号。（3）几幅图形共用一个图序和图题，每幅图应有子图序，如(a)，(b)，(c)等，有时可能会有子图题。子图序和子图题置于横标目的下方，相对于横坐标轴整个居中排；有时可置于图面内空白较大的地方，每个子图序和子图题在各个图面中的位置应一致。（4）标目中，量符号与单位符号间用斜分数线（/）相隔。标目中的量符号与正文中的一致。（5）图注与说明安排在图题的上方。（6）先见文字叙述，后见图。（7）图不要与文字混排，图单独通栏排。</w:t>
      </w:r>
    </w:p>
    <w:p>
      <w:pPr>
        <w:spacing w:line="360" w:lineRule="auto"/>
        <w:ind w:firstLine="420"/>
        <w:jc w:val="left"/>
        <w:rPr>
          <w:rFonts w:hint="eastAsia" w:ascii="Arial" w:hAnsi="Arial" w:cs="Arial"/>
          <w:color w:val="000000"/>
          <w:sz w:val="24"/>
          <w:szCs w:val="24"/>
        </w:rPr>
      </w:pPr>
      <w:r>
        <w:rPr>
          <w:rFonts w:hint="eastAsia" w:ascii="Arial" w:hAnsi="Arial" w:cs="Arial"/>
          <w:b/>
          <w:bCs/>
          <w:color w:val="000000"/>
          <w:sz w:val="24"/>
          <w:szCs w:val="24"/>
        </w:rPr>
        <w:t>3.公式：</w:t>
      </w:r>
      <w:r>
        <w:rPr>
          <w:rFonts w:hint="eastAsia" w:ascii="Arial" w:hAnsi="Arial" w:cs="Arial"/>
          <w:color w:val="000000"/>
          <w:sz w:val="24"/>
          <w:szCs w:val="24"/>
        </w:rPr>
        <w:t>公式排版请用公式编辑器编排，公式需要用圆括号加数字进行连续编号，并使编号与每栏的右边线对齐，参见(1)，如</w:t>
      </w:r>
    </w:p>
    <w:p>
      <w:pPr>
        <w:spacing w:line="360" w:lineRule="auto"/>
        <w:ind w:firstLine="420"/>
        <w:jc w:val="right"/>
        <w:rPr>
          <w:rFonts w:hint="eastAsia" w:ascii="Arial" w:hAnsi="Arial" w:cs="Arial"/>
          <w:color w:val="000000"/>
          <w:sz w:val="24"/>
          <w:szCs w:val="24"/>
        </w:rPr>
      </w:pPr>
      <w:r>
        <w:rPr>
          <w:position w:val="-28"/>
          <w:szCs w:val="21"/>
        </w:rPr>
        <w:object>
          <v:shape id="_x0000_i1025" o:spt="75" type="#_x0000_t75" style="height:35.05pt;width:84.5pt;" o:ole="t" filled="f" o:preferrelative="t" stroked="f" coordsize="21600,21600">
            <v:path/>
            <v:fill on="f" focussize="0,0"/>
            <v:stroke on="f"/>
            <v:imagedata r:id="rId10" embosscolor="#FFFFFF" o:title=""/>
            <o:lock v:ext="edit" grouping="f" rotation="f" text="f" aspectratio="t"/>
            <w10:wrap type="none"/>
            <w10:anchorlock/>
          </v:shape>
          <o:OLEObject Type="Embed" ProgID="Equation.DSMT4" ShapeID="_x0000_i1025" DrawAspect="Content" ObjectID="_1468075725" r:id="rId9">
            <o:LockedField>false</o:LockedField>
          </o:OLEObject>
        </w:object>
      </w:r>
      <w:r>
        <w:rPr>
          <w:rFonts w:hint="eastAsia" w:ascii="Arial" w:hAnsi="Arial" w:cs="Arial"/>
          <w:color w:val="000000"/>
          <w:sz w:val="24"/>
          <w:szCs w:val="24"/>
        </w:rPr>
        <w:t xml:space="preserve"> (1)</w:t>
      </w:r>
    </w:p>
    <w:p>
      <w:pPr>
        <w:spacing w:line="360" w:lineRule="auto"/>
        <w:ind w:firstLine="420"/>
        <w:jc w:val="left"/>
        <w:rPr>
          <w:rFonts w:hint="eastAsia" w:ascii="Arial" w:hAnsi="Arial" w:cs="Arial"/>
          <w:color w:val="000000"/>
          <w:sz w:val="24"/>
          <w:szCs w:val="24"/>
        </w:rPr>
      </w:pPr>
      <w:r>
        <w:rPr>
          <w:rFonts w:hint="eastAsia" w:ascii="Arial" w:hAnsi="Arial" w:cs="Arial"/>
          <w:color w:val="000000"/>
          <w:sz w:val="24"/>
          <w:szCs w:val="24"/>
        </w:rPr>
        <w:t>公式中的符号要事先定义或紧接在公式下给出定义。公式中的变量须用斜体。</w:t>
      </w:r>
    </w:p>
    <w:p>
      <w:pPr>
        <w:spacing w:line="360" w:lineRule="auto"/>
        <w:jc w:val="center"/>
        <w:rPr>
          <w:rFonts w:hint="eastAsia"/>
          <w:b/>
          <w:bCs/>
          <w:sz w:val="28"/>
          <w:szCs w:val="28"/>
        </w:rPr>
      </w:pPr>
      <w:r>
        <w:rPr>
          <w:rFonts w:hint="eastAsia"/>
          <w:b/>
          <w:bCs/>
          <w:sz w:val="28"/>
          <w:szCs w:val="28"/>
        </w:rPr>
        <w:t>河海大学学报（哲学社会科学版）论文格式样张（</w:t>
      </w:r>
      <w:r>
        <w:rPr>
          <w:rFonts w:hint="eastAsia"/>
          <w:b/>
          <w:bCs/>
          <w:color w:val="FF0000"/>
          <w:sz w:val="28"/>
          <w:szCs w:val="28"/>
        </w:rPr>
        <w:t>可用格式刷</w:t>
      </w:r>
      <w:r>
        <w:rPr>
          <w:rFonts w:hint="eastAsia"/>
          <w:b/>
          <w:bCs/>
          <w:sz w:val="28"/>
          <w:szCs w:val="28"/>
        </w:rPr>
        <w:t>）</w:t>
      </w:r>
    </w:p>
    <w:p>
      <w:pPr>
        <w:spacing w:line="360" w:lineRule="auto"/>
        <w:rPr>
          <w:rFonts w:hint="eastAsia" w:ascii="黑体" w:hAnsi="黑体" w:eastAsia="黑体" w:cs="黑体"/>
          <w:b/>
          <w:sz w:val="44"/>
          <w:szCs w:val="44"/>
        </w:rPr>
      </w:pPr>
    </w:p>
    <w:p>
      <w:pPr>
        <w:spacing w:line="360" w:lineRule="auto"/>
        <w:jc w:val="center"/>
        <w:rPr>
          <w:rFonts w:hint="eastAsia" w:ascii="黑体" w:hAnsi="黑体" w:eastAsia="黑体" w:cs="黑体"/>
          <w:b/>
          <w:color w:val="FF0000"/>
          <w:sz w:val="44"/>
          <w:szCs w:val="44"/>
        </w:rPr>
      </w:pPr>
      <w:r>
        <w:rPr>
          <w:rFonts w:hint="eastAsia" w:ascii="黑体" w:hAnsi="黑体" w:eastAsia="黑体" w:cs="黑体"/>
          <w:b/>
          <w:sz w:val="44"/>
          <w:szCs w:val="44"/>
        </w:rPr>
        <w:t>“科层-合作”制下的洪灾应急管理</w:t>
      </w:r>
      <w:bookmarkStart w:id="2" w:name="OLE_LINK4"/>
      <w:r>
        <w:rPr>
          <w:rFonts w:hint="eastAsia" w:ascii="黑体" w:hAnsi="黑体" w:eastAsia="黑体" w:cs="黑体"/>
          <w:b/>
          <w:sz w:val="44"/>
          <w:szCs w:val="44"/>
        </w:rPr>
        <w:t>组织体系</w:t>
      </w:r>
      <w:bookmarkEnd w:id="0"/>
      <w:bookmarkEnd w:id="2"/>
      <w:r>
        <w:rPr>
          <w:rFonts w:hint="eastAsia" w:ascii="黑体" w:hAnsi="黑体" w:eastAsia="黑体" w:cs="黑体"/>
          <w:b/>
          <w:sz w:val="44"/>
          <w:szCs w:val="44"/>
        </w:rPr>
        <w:t>探讨</w:t>
      </w:r>
      <w:r>
        <w:rPr>
          <w:rFonts w:hint="eastAsia" w:ascii="楷体_GB2312" w:eastAsia="楷体_GB2312"/>
          <w:color w:val="FF0000"/>
          <w:szCs w:val="24"/>
        </w:rPr>
        <w:t>（标题：黑体2号，加粗，居中）</w:t>
      </w:r>
    </w:p>
    <w:p>
      <w:pPr>
        <w:spacing w:line="360" w:lineRule="auto"/>
        <w:jc w:val="center"/>
        <w:rPr>
          <w:rFonts w:hint="eastAsia" w:ascii="楷体_GB2312" w:eastAsia="楷体_GB2312"/>
          <w:szCs w:val="24"/>
        </w:rPr>
      </w:pPr>
      <w:r>
        <w:rPr>
          <w:rFonts w:hint="eastAsia" w:ascii="宋体" w:hAnsi="宋体"/>
          <w:bCs/>
          <w:sz w:val="32"/>
          <w:szCs w:val="32"/>
        </w:rPr>
        <w:t>——</w:t>
      </w:r>
      <w:bookmarkStart w:id="3" w:name="OLE_LINK24"/>
      <w:r>
        <w:rPr>
          <w:rFonts w:hint="eastAsia" w:ascii="宋体" w:hAnsi="宋体"/>
          <w:bCs/>
          <w:sz w:val="32"/>
          <w:szCs w:val="32"/>
        </w:rPr>
        <w:t>以淮河流域为例</w:t>
      </w:r>
      <w:bookmarkEnd w:id="1"/>
      <w:bookmarkEnd w:id="3"/>
      <w:r>
        <w:rPr>
          <w:rStyle w:val="11"/>
          <w:rFonts w:ascii="宋体" w:hAnsi="宋体"/>
          <w:b/>
          <w:color w:val="FFFFFF"/>
          <w:sz w:val="32"/>
          <w:szCs w:val="32"/>
        </w:rPr>
        <w:footnoteReference w:id="0"/>
      </w:r>
      <w:r>
        <w:rPr>
          <w:rFonts w:hint="eastAsia" w:ascii="楷体_GB2312" w:eastAsia="楷体_GB2312"/>
          <w:color w:val="FF0000"/>
          <w:szCs w:val="24"/>
        </w:rPr>
        <w:t>（副标题：宋体3号，居中）</w:t>
      </w:r>
    </w:p>
    <w:p>
      <w:pPr>
        <w:jc w:val="center"/>
        <w:rPr>
          <w:rFonts w:hint="eastAsia" w:ascii="楷体" w:hAnsi="楷体" w:eastAsia="楷体" w:cs="楷体"/>
          <w:bCs/>
          <w:sz w:val="28"/>
          <w:szCs w:val="28"/>
        </w:rPr>
      </w:pPr>
      <w:r>
        <w:rPr>
          <w:rFonts w:hint="eastAsia" w:ascii="楷体" w:hAnsi="楷体" w:eastAsia="楷体" w:cs="楷体"/>
          <w:bCs/>
          <w:sz w:val="28"/>
          <w:szCs w:val="28"/>
        </w:rPr>
        <w:t>王慧敏</w:t>
      </w:r>
      <w:r>
        <w:rPr>
          <w:rFonts w:hint="eastAsia" w:ascii="楷体" w:hAnsi="楷体" w:eastAsia="楷体" w:cs="楷体"/>
          <w:bCs/>
          <w:sz w:val="28"/>
          <w:szCs w:val="28"/>
          <w:vertAlign w:val="superscript"/>
        </w:rPr>
        <w:t>1</w:t>
      </w:r>
      <w:r>
        <w:rPr>
          <w:rFonts w:hint="eastAsia" w:ascii="楷体" w:hAnsi="楷体" w:eastAsia="楷体" w:cs="楷体"/>
          <w:bCs/>
          <w:sz w:val="28"/>
          <w:szCs w:val="28"/>
        </w:rPr>
        <w:t>，陈 蓉</w:t>
      </w:r>
      <w:r>
        <w:rPr>
          <w:rFonts w:hint="eastAsia" w:ascii="楷体" w:hAnsi="楷体" w:eastAsia="楷体" w:cs="楷体"/>
          <w:bCs/>
          <w:sz w:val="28"/>
          <w:szCs w:val="28"/>
          <w:vertAlign w:val="superscript"/>
        </w:rPr>
        <w:t>2</w:t>
      </w:r>
      <w:r>
        <w:rPr>
          <w:rFonts w:hint="eastAsia" w:ascii="楷体" w:hAnsi="楷体" w:eastAsia="楷体" w:cs="楷体"/>
          <w:bCs/>
          <w:sz w:val="28"/>
          <w:szCs w:val="28"/>
        </w:rPr>
        <w:t>，佟金萍</w:t>
      </w:r>
      <w:r>
        <w:rPr>
          <w:rFonts w:hint="eastAsia" w:ascii="楷体" w:hAnsi="楷体" w:eastAsia="楷体" w:cs="楷体"/>
          <w:bCs/>
          <w:sz w:val="28"/>
          <w:szCs w:val="28"/>
          <w:vertAlign w:val="superscript"/>
        </w:rPr>
        <w:t>3</w:t>
      </w:r>
      <w:r>
        <w:rPr>
          <w:rFonts w:hint="eastAsia" w:ascii="楷体_GB2312" w:eastAsia="楷体_GB2312"/>
          <w:color w:val="FF0000"/>
          <w:szCs w:val="24"/>
        </w:rPr>
        <w:t>（作者：楷体4号，居中）</w:t>
      </w:r>
    </w:p>
    <w:p>
      <w:pPr>
        <w:jc w:val="center"/>
        <w:rPr>
          <w:rFonts w:hint="eastAsia" w:ascii="宋体" w:hAnsi="宋体" w:cs="宋体"/>
          <w:bCs/>
          <w:sz w:val="18"/>
          <w:szCs w:val="18"/>
        </w:rPr>
      </w:pPr>
      <w:r>
        <w:rPr>
          <w:rFonts w:hint="eastAsia" w:ascii="宋体" w:hAnsi="宋体" w:cs="宋体"/>
          <w:bCs/>
          <w:sz w:val="18"/>
          <w:szCs w:val="18"/>
        </w:rPr>
        <w:t>（1.河海大学水文水资源与水利工程科学国家重点实验室，江苏南京 210098；</w:t>
      </w:r>
    </w:p>
    <w:p>
      <w:pPr>
        <w:jc w:val="left"/>
        <w:rPr>
          <w:rFonts w:hint="eastAsia" w:ascii="楷体_GB2312" w:eastAsia="楷体_GB2312"/>
          <w:color w:val="FF0000"/>
          <w:szCs w:val="24"/>
        </w:rPr>
      </w:pPr>
      <w:r>
        <w:rPr>
          <w:rFonts w:hint="eastAsia" w:ascii="宋体" w:hAnsi="宋体" w:cs="宋体"/>
          <w:bCs/>
          <w:sz w:val="18"/>
          <w:szCs w:val="18"/>
        </w:rPr>
        <w:t>2.河海大学管理科学研究所，江苏南京 210098；3.常州大学经济管理学院，江苏常州 213164）</w:t>
      </w:r>
      <w:r>
        <w:rPr>
          <w:rFonts w:hint="eastAsia" w:ascii="楷体_GB2312" w:eastAsia="楷体_GB2312"/>
          <w:color w:val="FF0000"/>
          <w:szCs w:val="24"/>
        </w:rPr>
        <w:t>（单位：宋体小5号，居中）</w:t>
      </w:r>
    </w:p>
    <w:p>
      <w:pPr>
        <w:spacing w:line="360" w:lineRule="auto"/>
        <w:jc w:val="center"/>
        <w:rPr>
          <w:rFonts w:hint="eastAsia" w:ascii="楷体_GB2312" w:eastAsia="楷体_GB2312"/>
          <w:color w:val="FF0000"/>
          <w:szCs w:val="24"/>
        </w:rPr>
      </w:pPr>
      <w:r>
        <w:rPr>
          <w:rFonts w:hint="eastAsia" w:ascii="楷体_GB2312" w:eastAsia="楷体_GB2312"/>
          <w:color w:val="FF0000"/>
          <w:szCs w:val="24"/>
        </w:rPr>
        <w:t>（此处为空1行）</w:t>
      </w:r>
    </w:p>
    <w:p>
      <w:pPr>
        <w:autoSpaceDE w:val="0"/>
        <w:autoSpaceDN w:val="0"/>
        <w:adjustRightInd w:val="0"/>
        <w:spacing w:line="400" w:lineRule="exact"/>
        <w:jc w:val="left"/>
        <w:outlineLvl w:val="0"/>
        <w:rPr>
          <w:rFonts w:hint="eastAsia" w:ascii="宋体" w:hAnsi="宋体" w:cs="Arial"/>
          <w:bCs/>
          <w:sz w:val="24"/>
        </w:rPr>
      </w:pPr>
      <w:r>
        <w:rPr>
          <w:rFonts w:hint="eastAsia" w:ascii="宋体" w:hAnsi="宋体" w:cs="Arial"/>
          <w:b/>
          <w:szCs w:val="21"/>
        </w:rPr>
        <w:t>摘要：</w:t>
      </w:r>
      <w:r>
        <w:rPr>
          <w:rFonts w:hint="eastAsia" w:ascii="宋体" w:hAnsi="宋体" w:cs="Arial"/>
          <w:bCs/>
          <w:szCs w:val="21"/>
        </w:rPr>
        <w:t>近年来流域性</w:t>
      </w:r>
      <w:r>
        <w:rPr>
          <w:rFonts w:hint="eastAsia"/>
          <w:szCs w:val="21"/>
        </w:rPr>
        <w:t>洪水灾害</w:t>
      </w:r>
      <w:r>
        <w:rPr>
          <w:rFonts w:hint="eastAsia" w:ascii="宋体" w:hAnsi="宋体" w:cs="Arial"/>
          <w:bCs/>
          <w:szCs w:val="21"/>
        </w:rPr>
        <w:t>呈现常态化发展趋势</w:t>
      </w:r>
      <w:bookmarkStart w:id="4" w:name="OLE_LINK11"/>
      <w:bookmarkStart w:id="5" w:name="OLE_LINK16"/>
      <w:r>
        <w:rPr>
          <w:rFonts w:hint="eastAsia" w:ascii="宋体" w:hAnsi="宋体" w:cs="Arial"/>
          <w:bCs/>
          <w:szCs w:val="21"/>
        </w:rPr>
        <w:t>，现行的</w:t>
      </w:r>
      <w:bookmarkEnd w:id="4"/>
      <w:bookmarkStart w:id="6" w:name="OLE_LINK10"/>
      <w:bookmarkStart w:id="7" w:name="OLE_LINK12"/>
      <w:bookmarkStart w:id="8" w:name="OLE_LINK9"/>
      <w:r>
        <w:rPr>
          <w:rFonts w:hint="eastAsia" w:ascii="宋体" w:hAnsi="宋体" w:cs="Arial"/>
          <w:bCs/>
          <w:szCs w:val="21"/>
        </w:rPr>
        <w:t>防汛组织体系</w:t>
      </w:r>
      <w:bookmarkEnd w:id="6"/>
      <w:bookmarkEnd w:id="7"/>
      <w:bookmarkEnd w:id="8"/>
      <w:r>
        <w:rPr>
          <w:rFonts w:hint="eastAsia" w:ascii="宋体" w:hAnsi="宋体" w:cs="Arial"/>
          <w:bCs/>
          <w:szCs w:val="21"/>
        </w:rPr>
        <w:t>已经无法适应越来越复杂的洪灾应急管理的要求，</w:t>
      </w:r>
      <w:bookmarkEnd w:id="5"/>
      <w:r>
        <w:rPr>
          <w:rFonts w:hint="eastAsia" w:ascii="宋体" w:hAnsi="宋体" w:cs="Arial"/>
          <w:bCs/>
          <w:szCs w:val="21"/>
        </w:rPr>
        <w:t>符合我国洪灾应急管理现实需求的管理体制只能是将科层制与合作制相结合。由此，提出“科层-合作”制的洪灾应急管理思想，并结合CMSS模式，</w:t>
      </w:r>
      <w:bookmarkStart w:id="9" w:name="OLE_LINK29"/>
      <w:r>
        <w:rPr>
          <w:rFonts w:hint="eastAsia" w:ascii="宋体" w:hAnsi="宋体" w:cs="Arial"/>
          <w:bCs/>
          <w:szCs w:val="21"/>
        </w:rPr>
        <w:t>构建</w:t>
      </w:r>
      <w:bookmarkEnd w:id="9"/>
      <w:bookmarkStart w:id="10" w:name="OLE_LINK1"/>
      <w:r>
        <w:rPr>
          <w:rFonts w:hint="eastAsia" w:ascii="宋体" w:hAnsi="宋体" w:cs="Arial"/>
          <w:bCs/>
          <w:szCs w:val="21"/>
        </w:rPr>
        <w:t>“科层-合作”</w:t>
      </w:r>
      <w:bookmarkEnd w:id="10"/>
      <w:r>
        <w:rPr>
          <w:rFonts w:hint="eastAsia" w:ascii="宋体" w:hAnsi="宋体" w:cs="Arial"/>
          <w:bCs/>
          <w:szCs w:val="21"/>
        </w:rPr>
        <w:t>制下的洪灾应急管理组织框架，</w:t>
      </w:r>
      <w:bookmarkStart w:id="11" w:name="OLE_LINK32"/>
      <w:r>
        <w:rPr>
          <w:rFonts w:hint="eastAsia" w:ascii="宋体" w:hAnsi="宋体" w:cs="Arial"/>
          <w:bCs/>
          <w:szCs w:val="21"/>
        </w:rPr>
        <w:t>分析演化机制</w:t>
      </w:r>
      <w:bookmarkEnd w:id="11"/>
      <w:r>
        <w:rPr>
          <w:rFonts w:hint="eastAsia" w:ascii="宋体" w:hAnsi="宋体" w:cs="Arial"/>
          <w:bCs/>
          <w:szCs w:val="21"/>
        </w:rPr>
        <w:t>。最后以淮河流域为例，构建“科层-合作”制的淮河流域洪灾应急管理组织体系，并与现行的淮河流域科层制防汛结构体系对比，得出前者更适应洪灾应急环境变化，从而使洪灾应急更有效的结论。</w:t>
      </w:r>
      <w:r>
        <w:rPr>
          <w:rFonts w:hint="eastAsia" w:ascii="楷体_GB2312" w:eastAsia="楷体_GB2312"/>
          <w:color w:val="FF0000"/>
          <w:szCs w:val="24"/>
        </w:rPr>
        <w:t>（摘要：宋体5号）</w:t>
      </w:r>
    </w:p>
    <w:p>
      <w:pPr>
        <w:autoSpaceDE w:val="0"/>
        <w:autoSpaceDN w:val="0"/>
        <w:adjustRightInd w:val="0"/>
        <w:spacing w:line="400" w:lineRule="exact"/>
        <w:jc w:val="left"/>
        <w:outlineLvl w:val="0"/>
        <w:rPr>
          <w:rStyle w:val="15"/>
          <w:rFonts w:hint="eastAsia" w:hAnsi="Arial"/>
          <w:sz w:val="24"/>
          <w:shd w:val="clear" w:color="auto" w:fill="FFFFFF"/>
        </w:rPr>
      </w:pPr>
      <w:r>
        <w:rPr>
          <w:rFonts w:hint="eastAsia" w:ascii="宋体" w:hAnsi="宋体" w:cs="Arial"/>
          <w:b/>
          <w:szCs w:val="21"/>
        </w:rPr>
        <w:t>关键字：</w:t>
      </w:r>
      <w:r>
        <w:rPr>
          <w:rFonts w:hint="eastAsia" w:ascii="宋体" w:hAnsi="宋体" w:cs="Arial"/>
          <w:bCs/>
          <w:szCs w:val="21"/>
        </w:rPr>
        <w:t>“科层-合作”制；洪灾</w:t>
      </w:r>
      <w:bookmarkStart w:id="12" w:name="OLE_LINK15"/>
      <w:bookmarkStart w:id="13" w:name="OLE_LINK17"/>
      <w:r>
        <w:rPr>
          <w:rFonts w:hint="eastAsia" w:ascii="宋体" w:hAnsi="宋体" w:cs="Arial"/>
          <w:bCs/>
          <w:szCs w:val="21"/>
        </w:rPr>
        <w:t>应急管理</w:t>
      </w:r>
      <w:bookmarkEnd w:id="12"/>
      <w:bookmarkEnd w:id="13"/>
      <w:r>
        <w:rPr>
          <w:rFonts w:hint="eastAsia" w:ascii="宋体" w:hAnsi="宋体" w:cs="Arial"/>
          <w:bCs/>
          <w:szCs w:val="21"/>
        </w:rPr>
        <w:t>；组织体系；淮河流域</w:t>
      </w:r>
      <w:r>
        <w:rPr>
          <w:rFonts w:hint="eastAsia" w:ascii="楷体_GB2312" w:eastAsia="楷体_GB2312"/>
          <w:color w:val="FF0000"/>
          <w:szCs w:val="24"/>
        </w:rPr>
        <w:t>（关键词：宋体5号）</w:t>
      </w:r>
    </w:p>
    <w:p>
      <w:pPr>
        <w:spacing w:line="360" w:lineRule="auto"/>
        <w:jc w:val="center"/>
        <w:rPr>
          <w:rFonts w:hint="eastAsia" w:ascii="楷体_GB2312" w:eastAsia="楷体_GB2312"/>
          <w:color w:val="FF0000"/>
          <w:szCs w:val="24"/>
        </w:rPr>
      </w:pPr>
      <w:bookmarkStart w:id="14" w:name="_Toc327384994"/>
      <w:r>
        <w:rPr>
          <w:rFonts w:hint="eastAsia" w:ascii="楷体_GB2312" w:eastAsia="楷体_GB2312"/>
          <w:color w:val="FF0000"/>
          <w:szCs w:val="24"/>
        </w:rPr>
        <w:t>（此处为空1行）</w:t>
      </w:r>
    </w:p>
    <w:p>
      <w:pPr>
        <w:spacing w:before="249" w:beforeLines="80" w:after="156" w:afterLines="50" w:line="400" w:lineRule="exact"/>
        <w:outlineLvl w:val="0"/>
        <w:rPr>
          <w:sz w:val="28"/>
          <w:szCs w:val="28"/>
        </w:rPr>
      </w:pPr>
      <w:r>
        <w:rPr>
          <w:rFonts w:hint="eastAsia" w:ascii="黑体" w:hAnsi="黑体" w:eastAsia="黑体" w:cs="黑体"/>
          <w:b/>
          <w:bCs/>
          <w:sz w:val="28"/>
          <w:szCs w:val="28"/>
        </w:rPr>
        <w:t>一、引言</w:t>
      </w:r>
      <w:r>
        <w:rPr>
          <w:rFonts w:hint="eastAsia" w:ascii="楷体_GB2312" w:eastAsia="楷体_GB2312"/>
          <w:color w:val="FF0000"/>
          <w:szCs w:val="24"/>
        </w:rPr>
        <w:t>(一级标题：黑体4号，加粗)</w:t>
      </w:r>
    </w:p>
    <w:p>
      <w:pPr>
        <w:autoSpaceDE w:val="0"/>
        <w:autoSpaceDN w:val="0"/>
        <w:adjustRightInd w:val="0"/>
        <w:spacing w:line="400" w:lineRule="exact"/>
        <w:ind w:firstLine="420" w:firstLineChars="200"/>
        <w:jc w:val="left"/>
        <w:outlineLvl w:val="0"/>
        <w:rPr>
          <w:rFonts w:hint="eastAsia" w:ascii="楷体_GB2312" w:eastAsia="楷体_GB2312"/>
          <w:color w:val="FF0000"/>
          <w:szCs w:val="24"/>
        </w:rPr>
      </w:pPr>
      <w:r>
        <w:rPr>
          <w:rFonts w:hint="eastAsia" w:ascii="宋体" w:hAnsi="宋体" w:cs="宋体"/>
          <w:bCs/>
          <w:szCs w:val="21"/>
        </w:rPr>
        <w:t>由于地处亚洲季风气候带，降雨量时空分布不均，我国是世界上洪水灾害发生最频繁、最严重的国家之一。进入21世纪以来，流域性的特大洪灾几乎年年发生，无论从强度、发生频率、持续时间、地理分布和影响范围看，洪水灾害似乎正在演变成一种常态。</w:t>
      </w:r>
      <w:r>
        <w:rPr>
          <w:rFonts w:hint="eastAsia" w:ascii="楷体_GB2312" w:eastAsia="楷体_GB2312"/>
          <w:color w:val="FF0000"/>
          <w:szCs w:val="24"/>
        </w:rPr>
        <w:t>（正文：宋体5号，首行缩进2字符）</w:t>
      </w:r>
      <w:bookmarkEnd w:id="14"/>
    </w:p>
    <w:p>
      <w:pPr>
        <w:spacing w:line="460" w:lineRule="exact"/>
        <w:jc w:val="center"/>
        <w:rPr>
          <w:rFonts w:hint="eastAsia" w:ascii="宋体" w:hAnsi="宋体"/>
          <w:szCs w:val="24"/>
        </w:rPr>
      </w:pPr>
      <w:r>
        <w:rPr>
          <w:rFonts w:hint="eastAsia" w:ascii="宋体" w:hAnsi="宋体"/>
          <w:szCs w:val="24"/>
        </w:rPr>
        <w:t>.......</w:t>
      </w:r>
    </w:p>
    <w:p>
      <w:pPr>
        <w:spacing w:before="249" w:beforeLines="80" w:after="156" w:afterLines="50" w:line="400" w:lineRule="exact"/>
        <w:outlineLvl w:val="0"/>
        <w:rPr>
          <w:rFonts w:hint="eastAsia" w:ascii="黑体" w:hAnsi="黑体" w:eastAsia="黑体" w:cs="黑体"/>
          <w:b/>
          <w:bCs/>
          <w:sz w:val="28"/>
          <w:szCs w:val="28"/>
        </w:rPr>
      </w:pPr>
      <w:r>
        <w:rPr>
          <w:rFonts w:hint="eastAsia" w:ascii="黑体" w:hAnsi="黑体" w:eastAsia="黑体" w:cs="黑体"/>
          <w:b/>
          <w:bCs/>
          <w:sz w:val="28"/>
          <w:szCs w:val="28"/>
        </w:rPr>
        <w:t>三、“科层-合作”制洪灾应急管理组织结构</w:t>
      </w:r>
    </w:p>
    <w:p>
      <w:pPr>
        <w:spacing w:line="400" w:lineRule="auto"/>
        <w:ind w:firstLine="420"/>
        <w:outlineLvl w:val="0"/>
        <w:rPr>
          <w:bCs/>
          <w:color w:val="FF0000"/>
          <w:sz w:val="24"/>
        </w:rPr>
      </w:pPr>
      <w:bookmarkStart w:id="15" w:name="_Toc380510146"/>
      <w:r>
        <w:rPr>
          <w:rFonts w:hint="eastAsia" w:ascii="楷体" w:hAnsi="楷体" w:eastAsia="楷体" w:cs="楷体"/>
          <w:bCs/>
          <w:szCs w:val="21"/>
        </w:rPr>
        <w:t>1.“科层-合作”制的界定与特征</w:t>
      </w:r>
      <w:bookmarkEnd w:id="15"/>
      <w:r>
        <w:rPr>
          <w:rFonts w:hint="eastAsia" w:ascii="楷体_GB2312" w:eastAsia="楷体_GB2312"/>
          <w:color w:val="FF0000"/>
          <w:szCs w:val="24"/>
        </w:rPr>
        <w:t>（二级标题，楷体5号，首行缩进2字符）</w:t>
      </w:r>
    </w:p>
    <w:p>
      <w:pPr>
        <w:autoSpaceDE w:val="0"/>
        <w:autoSpaceDN w:val="0"/>
        <w:adjustRightInd w:val="0"/>
        <w:spacing w:line="400" w:lineRule="exact"/>
        <w:ind w:firstLine="420" w:firstLineChars="200"/>
        <w:jc w:val="left"/>
        <w:outlineLvl w:val="0"/>
        <w:rPr>
          <w:rFonts w:hint="eastAsia" w:ascii="宋体" w:hAnsi="宋体" w:cs="宋体"/>
          <w:bCs/>
          <w:szCs w:val="21"/>
        </w:rPr>
      </w:pPr>
      <w:r>
        <w:rPr>
          <w:rFonts w:hint="eastAsia" w:ascii="宋体" w:hAnsi="宋体" w:cs="宋体"/>
          <w:bCs/>
          <w:szCs w:val="21"/>
        </w:rPr>
        <w:t>由前文分析可知，“科层-合作”制是最符合我国洪灾应急管理现实的行政组织管理体制，是对科层制和合作制利弊权衡后的取长补短。参考学界对于科层制和合作制的界定[16-17],我们对于“科层-合作”制作出如下定义与解释</w:t>
      </w:r>
    </w:p>
    <w:p>
      <w:pPr>
        <w:spacing w:line="460" w:lineRule="exact"/>
        <w:jc w:val="center"/>
        <w:rPr>
          <w:rFonts w:hint="eastAsia" w:ascii="宋体" w:hAnsi="宋体" w:cs="宋体"/>
          <w:bCs/>
          <w:szCs w:val="21"/>
        </w:rPr>
      </w:pPr>
      <w:r>
        <w:rPr>
          <w:rFonts w:hint="eastAsia" w:ascii="宋体" w:hAnsi="宋体"/>
          <w:szCs w:val="24"/>
        </w:rPr>
        <w:t>.......</w:t>
      </w:r>
    </w:p>
    <w:p>
      <w:pPr>
        <w:spacing w:line="360" w:lineRule="auto"/>
        <w:ind w:firstLine="420"/>
        <w:outlineLvl w:val="0"/>
        <w:rPr>
          <w:rFonts w:hint="eastAsia" w:ascii="楷体" w:hAnsi="楷体" w:eastAsia="楷体" w:cs="楷体"/>
          <w:bCs/>
          <w:szCs w:val="21"/>
        </w:rPr>
      </w:pPr>
      <w:r>
        <w:rPr>
          <w:rFonts w:hint="eastAsia" w:ascii="宋体" w:hAnsi="宋体" w:cs="宋体"/>
          <w:bCs/>
          <w:szCs w:val="21"/>
        </w:rPr>
        <w:t>（1）指挥中心的组建</w:t>
      </w:r>
      <w:r>
        <w:rPr>
          <w:rFonts w:hint="eastAsia" w:ascii="楷体_GB2312" w:eastAsia="楷体_GB2312"/>
          <w:color w:val="FF0000"/>
          <w:szCs w:val="24"/>
        </w:rPr>
        <w:t>（三级标题，宋体5号，首行缩进2字符）</w:t>
      </w:r>
    </w:p>
    <w:p>
      <w:pPr>
        <w:autoSpaceDE w:val="0"/>
        <w:autoSpaceDN w:val="0"/>
        <w:adjustRightInd w:val="0"/>
        <w:spacing w:line="400" w:lineRule="exact"/>
        <w:ind w:firstLine="420" w:firstLineChars="200"/>
        <w:jc w:val="left"/>
        <w:outlineLvl w:val="0"/>
        <w:rPr>
          <w:rFonts w:hint="eastAsia" w:ascii="宋体" w:hAnsi="宋体" w:cs="宋体"/>
          <w:bCs/>
          <w:szCs w:val="21"/>
        </w:rPr>
      </w:pPr>
      <w:r>
        <w:rPr>
          <w:rFonts w:hint="eastAsia" w:ascii="宋体" w:hAnsi="宋体" w:cs="宋体"/>
          <w:bCs/>
          <w:szCs w:val="21"/>
        </w:rPr>
        <w:t>“科层-合作”制下的洪灾应急管理组织结构中，以流域防总为重心的各级流域机构的指挥协调职能继续发挥重要作用。</w:t>
      </w:r>
    </w:p>
    <w:p>
      <w:pPr>
        <w:spacing w:line="460" w:lineRule="exact"/>
        <w:jc w:val="center"/>
        <w:rPr>
          <w:rFonts w:hint="eastAsia" w:ascii="宋体" w:hAnsi="宋体" w:cs="宋体"/>
          <w:bCs/>
          <w:szCs w:val="21"/>
        </w:rPr>
      </w:pPr>
      <w:r>
        <w:rPr>
          <w:rFonts w:hint="eastAsia" w:ascii="宋体" w:hAnsi="宋体"/>
          <w:szCs w:val="24"/>
        </w:rPr>
        <w:t>.......</w:t>
      </w:r>
    </w:p>
    <w:p>
      <w:pPr>
        <w:autoSpaceDE w:val="0"/>
        <w:autoSpaceDN w:val="0"/>
        <w:adjustRightInd w:val="0"/>
        <w:spacing w:line="400" w:lineRule="exact"/>
        <w:ind w:firstLine="420" w:firstLineChars="200"/>
        <w:jc w:val="left"/>
        <w:outlineLvl w:val="0"/>
        <w:rPr>
          <w:rFonts w:hint="eastAsia" w:ascii="宋体" w:hAnsi="宋体" w:cs="宋体"/>
          <w:bCs/>
          <w:szCs w:val="21"/>
        </w:rPr>
      </w:pPr>
      <w:r>
        <w:rPr>
          <w:rFonts w:hint="eastAsia" w:ascii="宋体" w:hAnsi="宋体" w:cs="宋体"/>
          <w:bCs/>
          <w:szCs w:val="21"/>
        </w:rPr>
        <w:t>①决策模块。主要针对跨区域救灾问题进行宏观控制的功能模块，分设灾区事务部和帮扶区事务部，均由流域防总和对应的省级防办派遣专人开展工作。</w:t>
      </w:r>
    </w:p>
    <w:p>
      <w:pPr>
        <w:spacing w:line="460" w:lineRule="exact"/>
        <w:jc w:val="center"/>
        <w:rPr>
          <w:rFonts w:hint="eastAsia"/>
          <w:b/>
          <w:bCs/>
          <w:sz w:val="24"/>
          <w:szCs w:val="24"/>
        </w:rPr>
      </w:pPr>
      <w:r>
        <w:rPr>
          <w:rFonts w:hint="eastAsia" w:ascii="宋体" w:hAnsi="宋体"/>
          <w:szCs w:val="24"/>
        </w:rPr>
        <w:t>.......</w:t>
      </w:r>
    </w:p>
    <w:p>
      <w:pPr>
        <w:spacing w:line="460" w:lineRule="exact"/>
        <w:rPr>
          <w:rFonts w:hint="eastAsia"/>
          <w:b/>
          <w:bCs/>
          <w:sz w:val="24"/>
          <w:szCs w:val="24"/>
        </w:rPr>
      </w:pPr>
    </w:p>
    <w:p>
      <w:pPr>
        <w:spacing w:line="400" w:lineRule="exact"/>
        <w:jc w:val="center"/>
        <w:rPr>
          <w:rFonts w:hint="eastAsia" w:ascii="黑体" w:hAnsi="黑体" w:eastAsia="黑体" w:cs="黑体"/>
          <w:b/>
          <w:sz w:val="18"/>
          <w:szCs w:val="18"/>
        </w:rPr>
      </w:pPr>
      <w:r>
        <w:rPr>
          <w:rFonts w:hint="eastAsia" w:ascii="黑体" w:hAnsi="黑体" w:eastAsia="黑体" w:cs="黑体"/>
          <w:b/>
          <w:sz w:val="18"/>
          <w:szCs w:val="18"/>
        </w:rPr>
        <w:t>表1  科层制、合作制、“科层-合作”制的特征比较</w:t>
      </w:r>
    </w:p>
    <w:p>
      <w:pPr>
        <w:spacing w:line="400" w:lineRule="exact"/>
        <w:jc w:val="center"/>
        <w:rPr>
          <w:rFonts w:hint="eastAsia" w:ascii="楷体_GB2312" w:hAnsi="宋体" w:eastAsia="楷体_GB2312"/>
          <w:color w:val="FF0000"/>
          <w:szCs w:val="21"/>
        </w:rPr>
      </w:pPr>
      <w:r>
        <w:rPr>
          <w:rFonts w:hint="eastAsia" w:ascii="楷体_GB2312" w:eastAsia="楷体_GB2312"/>
          <w:color w:val="FF0000"/>
          <w:szCs w:val="24"/>
        </w:rPr>
        <w:t xml:space="preserve"> （表格标题：黑体小5加粗、居中） </w:t>
      </w:r>
    </w:p>
    <w:tbl>
      <w:tblPr>
        <w:tblStyle w:val="1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167"/>
        <w:gridCol w:w="1246"/>
        <w:gridCol w:w="1307"/>
        <w:gridCol w:w="1185"/>
        <w:gridCol w:w="1246"/>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3"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管理体制</w:t>
            </w:r>
          </w:p>
        </w:tc>
        <w:tc>
          <w:tcPr>
            <w:tcW w:w="1167"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主体地位</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组织管理原则</w:t>
            </w:r>
          </w:p>
        </w:tc>
        <w:tc>
          <w:tcPr>
            <w:tcW w:w="1307"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决策模式</w:t>
            </w:r>
          </w:p>
        </w:tc>
        <w:tc>
          <w:tcPr>
            <w:tcW w:w="1185"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行动模式</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信息传递模式</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制约方式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3"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科层制</w:t>
            </w:r>
          </w:p>
        </w:tc>
        <w:tc>
          <w:tcPr>
            <w:tcW w:w="1167"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严格等级划分</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程序化</w:t>
            </w:r>
          </w:p>
        </w:tc>
        <w:tc>
          <w:tcPr>
            <w:tcW w:w="1307"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集中决策</w:t>
            </w:r>
          </w:p>
        </w:tc>
        <w:tc>
          <w:tcPr>
            <w:tcW w:w="1185"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“命令-服从”</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纵向传递</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3"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合作制</w:t>
            </w:r>
          </w:p>
        </w:tc>
        <w:tc>
          <w:tcPr>
            <w:tcW w:w="1167"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平等地位</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自组织</w:t>
            </w:r>
          </w:p>
        </w:tc>
        <w:tc>
          <w:tcPr>
            <w:tcW w:w="1307"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共同决策</w:t>
            </w:r>
          </w:p>
        </w:tc>
        <w:tc>
          <w:tcPr>
            <w:tcW w:w="1185"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配合、联动</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网络共享</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共同目标约束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3"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“科层-合作”制</w:t>
            </w:r>
          </w:p>
        </w:tc>
        <w:tc>
          <w:tcPr>
            <w:tcW w:w="1167"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存在非严格的层级划分</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以人为本、动态权变</w:t>
            </w:r>
          </w:p>
        </w:tc>
        <w:tc>
          <w:tcPr>
            <w:tcW w:w="1307"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部分决策权下放</w:t>
            </w:r>
          </w:p>
        </w:tc>
        <w:tc>
          <w:tcPr>
            <w:tcW w:w="1185"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以任务小组为基本行动单位</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网络共享</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任务导向</w:t>
            </w:r>
          </w:p>
        </w:tc>
      </w:tr>
    </w:tbl>
    <w:p>
      <w:pPr>
        <w:spacing w:line="400" w:lineRule="exact"/>
        <w:jc w:val="center"/>
        <w:rPr>
          <w:rFonts w:hint="eastAsia" w:ascii="楷体_GB2312" w:hAnsi="宋体" w:eastAsia="楷体_GB2312"/>
          <w:color w:val="FF0000"/>
          <w:szCs w:val="21"/>
        </w:rPr>
      </w:pPr>
      <w:r>
        <w:rPr>
          <w:rFonts w:hint="eastAsia" w:ascii="楷体_GB2312" w:eastAsia="楷体_GB2312"/>
          <w:color w:val="FF0000"/>
          <w:szCs w:val="24"/>
        </w:rPr>
        <w:t>（表内文字：宋体6号）</w:t>
      </w:r>
    </w:p>
    <w:p>
      <w:pPr>
        <w:spacing w:line="360" w:lineRule="auto"/>
        <w:jc w:val="center"/>
        <w:rPr>
          <w:rFonts w:hint="eastAsia" w:ascii="楷体_GB2312" w:hAnsi="宋体" w:eastAsia="楷体_GB2312"/>
          <w:szCs w:val="21"/>
        </w:rPr>
      </w:pPr>
    </w:p>
    <w:p>
      <w:pPr>
        <w:spacing w:line="360" w:lineRule="auto"/>
        <w:jc w:val="center"/>
        <w:rPr>
          <w:rFonts w:hint="eastAsia" w:ascii="楷体_GB2312" w:hAnsi="宋体" w:eastAsia="楷体_GB2312"/>
          <w:szCs w:val="21"/>
        </w:rPr>
      </w:pPr>
      <w:r>
        <mc:AlternateContent>
          <mc:Choice Requires="wpg">
            <w:drawing>
              <wp:inline distT="0" distB="0" distL="114300" distR="114300">
                <wp:extent cx="4491355" cy="3070860"/>
                <wp:effectExtent l="4445" t="13335" r="0" b="40005"/>
                <wp:docPr id="48" name="Group 151"/>
                <wp:cNvGraphicFramePr/>
                <a:graphic xmlns:a="http://schemas.openxmlformats.org/drawingml/2006/main">
                  <a:graphicData uri="http://schemas.microsoft.com/office/word/2010/wordprocessingGroup">
                    <wpg:wgp>
                      <wpg:cNvGrpSpPr/>
                      <wpg:grpSpPr>
                        <a:xfrm>
                          <a:off x="0" y="0"/>
                          <a:ext cx="4491355" cy="3070860"/>
                          <a:chOff x="0" y="0"/>
                          <a:chExt cx="7073" cy="4836"/>
                        </a:xfrm>
                      </wpg:grpSpPr>
                      <wps:wsp>
                        <wps:cNvPr id="1" name="Picture 152"/>
                        <wps:cNvSpPr>
                          <a:spLocks noChangeAspect="1" noTextEdit="1"/>
                        </wps:cNvSpPr>
                        <wps:spPr>
                          <a:xfrm>
                            <a:off x="0" y="0"/>
                            <a:ext cx="7073" cy="4836"/>
                          </a:xfrm>
                          <a:prstGeom prst="rect">
                            <a:avLst/>
                          </a:prstGeom>
                          <a:noFill/>
                          <a:ln>
                            <a:noFill/>
                          </a:ln>
                        </wps:spPr>
                        <wps:bodyPr wrap="square" upright="1"/>
                      </wps:wsp>
                      <wpg:grpSp>
                        <wpg:cNvPr id="47" name="Group 153"/>
                        <wpg:cNvGrpSpPr/>
                        <wpg:grpSpPr>
                          <a:xfrm>
                            <a:off x="0" y="0"/>
                            <a:ext cx="7073" cy="4836"/>
                            <a:chOff x="0" y="0"/>
                            <a:chExt cx="7073" cy="4836"/>
                          </a:xfrm>
                        </wpg:grpSpPr>
                        <wps:wsp>
                          <wps:cNvPr id="2" name="AutoShape 154"/>
                          <wps:cNvSpPr/>
                          <wps:spPr>
                            <a:xfrm>
                              <a:off x="0" y="1872"/>
                              <a:ext cx="1980" cy="2028"/>
                            </a:xfrm>
                            <a:prstGeom prst="roundRect">
                              <a:avLst>
                                <a:gd name="adj" fmla="val 1153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bodyPr wrap="square" upright="1"/>
                        </wps:wsp>
                        <wps:wsp>
                          <wps:cNvPr id="3" name="Rectangle 155"/>
                          <wps:cNvSpPr/>
                          <wps:spPr>
                            <a:xfrm>
                              <a:off x="180" y="2340"/>
                              <a:ext cx="1620" cy="1404"/>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sz w:val="15"/>
                                    <w:szCs w:val="15"/>
                                  </w:rPr>
                                </w:pPr>
                                <w:r>
                                  <w:rPr>
                                    <w:rFonts w:hint="eastAsia"/>
                                    <w:sz w:val="15"/>
                                    <w:szCs w:val="15"/>
                                  </w:rPr>
                                  <w:t>层级权限</w:t>
                                </w:r>
                              </w:p>
                              <w:p>
                                <w:pPr>
                                  <w:rPr>
                                    <w:rFonts w:hint="eastAsia"/>
                                    <w:sz w:val="15"/>
                                    <w:szCs w:val="15"/>
                                  </w:rPr>
                                </w:pPr>
                                <w:r>
                                  <w:rPr>
                                    <w:rFonts w:hint="eastAsia"/>
                                    <w:sz w:val="15"/>
                                    <w:szCs w:val="15"/>
                                  </w:rPr>
                                  <w:t>非人格化</w:t>
                                </w:r>
                              </w:p>
                              <w:p>
                                <w:pPr>
                                  <w:rPr>
                                    <w:rFonts w:hint="eastAsia"/>
                                    <w:sz w:val="15"/>
                                    <w:szCs w:val="15"/>
                                  </w:rPr>
                                </w:pPr>
                                <w:r>
                                  <w:rPr>
                                    <w:rFonts w:hint="eastAsia"/>
                                    <w:sz w:val="15"/>
                                    <w:szCs w:val="15"/>
                                  </w:rPr>
                                  <w:t>专业分工</w:t>
                                </w:r>
                              </w:p>
                              <w:p>
                                <w:pPr>
                                  <w:rPr>
                                    <w:rFonts w:hint="eastAsia"/>
                                    <w:sz w:val="15"/>
                                    <w:szCs w:val="15"/>
                                  </w:rPr>
                                </w:pPr>
                                <w:r>
                                  <w:rPr>
                                    <w:rFonts w:hint="eastAsia"/>
                                    <w:sz w:val="15"/>
                                    <w:szCs w:val="15"/>
                                  </w:rPr>
                                  <w:t>单通道信息途径</w:t>
                                </w:r>
                              </w:p>
                            </w:txbxContent>
                          </wps:txbx>
                          <wps:bodyPr wrap="square" upright="1"/>
                        </wps:wsp>
                        <wps:wsp>
                          <wps:cNvPr id="4" name="Rectangle 156"/>
                          <wps:cNvSpPr/>
                          <wps:spPr>
                            <a:xfrm>
                              <a:off x="533" y="1872"/>
                              <a:ext cx="900" cy="468"/>
                            </a:xfrm>
                            <a:prstGeom prst="rect">
                              <a:avLst/>
                            </a:prstGeom>
                            <a:noFill/>
                            <a:ln>
                              <a:noFill/>
                            </a:ln>
                          </wps:spPr>
                          <wps:txbx>
                            <w:txbxContent>
                              <w:p>
                                <w:pPr>
                                  <w:rPr>
                                    <w:rFonts w:hint="eastAsia"/>
                                    <w:sz w:val="15"/>
                                    <w:szCs w:val="15"/>
                                  </w:rPr>
                                </w:pPr>
                                <w:r>
                                  <w:rPr>
                                    <w:rFonts w:hint="eastAsia"/>
                                    <w:sz w:val="15"/>
                                    <w:szCs w:val="15"/>
                                  </w:rPr>
                                  <w:t>科层制</w:t>
                                </w:r>
                              </w:p>
                            </w:txbxContent>
                          </wps:txbx>
                          <wps:bodyPr wrap="square" upright="1"/>
                        </wps:wsp>
                        <wps:wsp>
                          <wps:cNvPr id="5" name="Rectangle 157"/>
                          <wps:cNvSpPr/>
                          <wps:spPr>
                            <a:xfrm>
                              <a:off x="4223" y="3684"/>
                              <a:ext cx="720" cy="780"/>
                            </a:xfrm>
                            <a:prstGeom prst="rect">
                              <a:avLst/>
                            </a:prstGeom>
                            <a:noFill/>
                            <a:ln>
                              <a:noFill/>
                            </a:ln>
                          </wps:spPr>
                          <wps:txbx>
                            <w:txbxContent>
                              <w:p>
                                <w:pPr>
                                  <w:jc w:val="center"/>
                                  <w:rPr>
                                    <w:rFonts w:hint="eastAsia"/>
                                    <w:sz w:val="15"/>
                                    <w:szCs w:val="15"/>
                                  </w:rPr>
                                </w:pPr>
                                <w:r>
                                  <w:rPr>
                                    <w:rFonts w:hint="eastAsia"/>
                                    <w:sz w:val="15"/>
                                    <w:szCs w:val="15"/>
                                  </w:rPr>
                                  <w:t>条件需求</w:t>
                                </w:r>
                              </w:p>
                            </w:txbxContent>
                          </wps:txbx>
                          <wps:bodyPr wrap="square" upright="1"/>
                        </wps:wsp>
                        <wps:wsp>
                          <wps:cNvPr id="6" name="Rectangle 158"/>
                          <wps:cNvSpPr/>
                          <wps:spPr>
                            <a:xfrm>
                              <a:off x="3413" y="2340"/>
                              <a:ext cx="1980" cy="1404"/>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sz w:val="15"/>
                                    <w:szCs w:val="15"/>
                                  </w:rPr>
                                </w:pPr>
                                <w:r>
                                  <w:rPr>
                                    <w:rFonts w:hint="eastAsia"/>
                                    <w:sz w:val="15"/>
                                    <w:szCs w:val="15"/>
                                  </w:rPr>
                                  <w:t>多主体参与</w:t>
                                </w:r>
                              </w:p>
                              <w:p>
                                <w:pPr>
                                  <w:rPr>
                                    <w:rFonts w:hint="eastAsia"/>
                                    <w:sz w:val="15"/>
                                    <w:szCs w:val="15"/>
                                  </w:rPr>
                                </w:pPr>
                                <w:r>
                                  <w:rPr>
                                    <w:rFonts w:hint="eastAsia"/>
                                    <w:sz w:val="15"/>
                                    <w:szCs w:val="15"/>
                                  </w:rPr>
                                  <w:t>以人为本</w:t>
                                </w:r>
                              </w:p>
                              <w:p>
                                <w:pPr>
                                  <w:rPr>
                                    <w:rFonts w:hint="eastAsia"/>
                                    <w:sz w:val="15"/>
                                    <w:szCs w:val="15"/>
                                  </w:rPr>
                                </w:pPr>
                                <w:r>
                                  <w:rPr>
                                    <w:rFonts w:hint="eastAsia"/>
                                    <w:sz w:val="15"/>
                                    <w:szCs w:val="15"/>
                                  </w:rPr>
                                  <w:t>任务导向机构重组</w:t>
                                </w:r>
                              </w:p>
                              <w:p>
                                <w:pPr>
                                  <w:rPr>
                                    <w:rFonts w:hint="eastAsia"/>
                                    <w:sz w:val="15"/>
                                    <w:szCs w:val="15"/>
                                  </w:rPr>
                                </w:pPr>
                                <w:r>
                                  <w:rPr>
                                    <w:rFonts w:hint="eastAsia"/>
                                    <w:sz w:val="15"/>
                                    <w:szCs w:val="15"/>
                                  </w:rPr>
                                  <w:t>信息共享</w:t>
                                </w:r>
                              </w:p>
                            </w:txbxContent>
                          </wps:txbx>
                          <wps:bodyPr wrap="square" upright="1"/>
                        </wps:wsp>
                        <wps:wsp>
                          <wps:cNvPr id="7" name="Rectangle 159"/>
                          <wps:cNvSpPr/>
                          <wps:spPr>
                            <a:xfrm>
                              <a:off x="2235" y="2631"/>
                              <a:ext cx="833" cy="423"/>
                            </a:xfrm>
                            <a:prstGeom prst="rect">
                              <a:avLst/>
                            </a:prstGeom>
                            <a:noFill/>
                            <a:ln>
                              <a:noFill/>
                            </a:ln>
                          </wps:spPr>
                          <wps:txbx>
                            <w:txbxContent>
                              <w:p>
                                <w:pPr>
                                  <w:jc w:val="center"/>
                                  <w:rPr>
                                    <w:rFonts w:hint="eastAsia"/>
                                    <w:sz w:val="15"/>
                                    <w:szCs w:val="15"/>
                                  </w:rPr>
                                </w:pPr>
                                <w:r>
                                  <w:rPr>
                                    <w:rFonts w:hint="eastAsia"/>
                                    <w:sz w:val="15"/>
                                    <w:szCs w:val="15"/>
                                  </w:rPr>
                                  <w:t>相悖</w:t>
                                </w:r>
                              </w:p>
                            </w:txbxContent>
                          </wps:txbx>
                          <wps:bodyPr wrap="square" upright="1"/>
                        </wps:wsp>
                        <wps:wsp>
                          <wps:cNvPr id="8" name="AutoShape 160"/>
                          <wps:cNvSpPr/>
                          <wps:spPr>
                            <a:xfrm>
                              <a:off x="3521" y="4368"/>
                              <a:ext cx="3492" cy="4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pPr>
                                  <w:jc w:val="center"/>
                                  <w:rPr>
                                    <w:rFonts w:hint="eastAsia" w:ascii="宋体" w:hAnsi="宋体" w:cs="宋体"/>
                                    <w:sz w:val="15"/>
                                    <w:szCs w:val="15"/>
                                  </w:rPr>
                                </w:pPr>
                                <w:r>
                                  <w:rPr>
                                    <w:rFonts w:hint="eastAsia" w:ascii="宋体" w:hAnsi="宋体" w:cs="宋体"/>
                                    <w:sz w:val="15"/>
                                    <w:szCs w:val="15"/>
                                  </w:rPr>
                                  <w:t>流域极端洪灾应急管理目标——高效</w:t>
                                </w:r>
                              </w:p>
                              <w:p/>
                            </w:txbxContent>
                          </wps:txbx>
                          <wps:bodyPr wrap="square" upright="1"/>
                        </wps:wsp>
                        <wps:wsp>
                          <wps:cNvPr id="9" name="AutoShape 161"/>
                          <wps:cNvCnPr>
                            <a:stCxn id="2" idx="2"/>
                            <a:endCxn id="8" idx="1"/>
                          </wps:cNvCnPr>
                          <wps:spPr>
                            <a:xfrm rot="-5400000" flipH="1">
                              <a:off x="1890" y="2971"/>
                              <a:ext cx="702" cy="2531"/>
                            </a:xfrm>
                            <a:prstGeom prst="bentConnector2">
                              <a:avLst/>
                            </a:prstGeom>
                            <a:ln w="9525" cap="flat" cmpd="sng">
                              <a:solidFill>
                                <a:srgbClr val="000000"/>
                              </a:solidFill>
                              <a:prstDash val="solid"/>
                              <a:miter/>
                              <a:headEnd type="none" w="med" len="med"/>
                              <a:tailEnd type="triangle" w="med" len="med"/>
                            </a:ln>
                          </wps:spPr>
                          <wps:bodyPr/>
                        </wps:wsp>
                        <wps:wsp>
                          <wps:cNvPr id="10" name="Rectangle 162"/>
                          <wps:cNvSpPr/>
                          <wps:spPr>
                            <a:xfrm>
                              <a:off x="900" y="4212"/>
                              <a:ext cx="1800" cy="468"/>
                            </a:xfrm>
                            <a:prstGeom prst="rect">
                              <a:avLst/>
                            </a:prstGeom>
                            <a:noFill/>
                            <a:ln>
                              <a:noFill/>
                            </a:ln>
                          </wps:spPr>
                          <wps:txbx>
                            <w:txbxContent>
                              <w:p>
                                <w:pPr>
                                  <w:jc w:val="center"/>
                                  <w:rPr>
                                    <w:rFonts w:hint="eastAsia"/>
                                    <w:sz w:val="15"/>
                                    <w:szCs w:val="15"/>
                                  </w:rPr>
                                </w:pPr>
                                <w:r>
                                  <w:rPr>
                                    <w:rFonts w:hint="eastAsia"/>
                                    <w:sz w:val="15"/>
                                    <w:szCs w:val="15"/>
                                  </w:rPr>
                                  <w:t>难以满足</w:t>
                                </w:r>
                              </w:p>
                            </w:txbxContent>
                          </wps:txbx>
                          <wps:bodyPr wrap="square" upright="1"/>
                        </wps:wsp>
                        <wps:wsp>
                          <wps:cNvPr id="11" name="AutoShape 163"/>
                          <wps:cNvSpPr/>
                          <wps:spPr>
                            <a:xfrm>
                              <a:off x="2063" y="2964"/>
                              <a:ext cx="1260" cy="156"/>
                            </a:xfrm>
                            <a:prstGeom prst="leftRightArrow">
                              <a:avLst>
                                <a:gd name="adj1" fmla="val 50000"/>
                                <a:gd name="adj2" fmla="val 161538"/>
                              </a:avLst>
                            </a:prstGeom>
                            <a:noFill/>
                            <a:ln w="9525" cap="flat" cmpd="sng">
                              <a:solidFill>
                                <a:srgbClr val="000000"/>
                              </a:solidFill>
                              <a:prstDash val="dash"/>
                              <a:miter/>
                              <a:headEnd type="none" w="med" len="med"/>
                              <a:tailEnd type="none" w="med" len="med"/>
                            </a:ln>
                          </wps:spPr>
                          <wps:bodyPr wrap="square" upright="1"/>
                        </wps:wsp>
                        <wps:wsp>
                          <wps:cNvPr id="12" name="Line 164"/>
                          <wps:cNvCnPr/>
                          <wps:spPr>
                            <a:xfrm flipH="1">
                              <a:off x="2517" y="2913"/>
                              <a:ext cx="278" cy="282"/>
                            </a:xfrm>
                            <a:prstGeom prst="line">
                              <a:avLst/>
                            </a:prstGeom>
                            <a:ln w="9525" cap="flat" cmpd="sng">
                              <a:solidFill>
                                <a:srgbClr val="000000"/>
                              </a:solidFill>
                              <a:prstDash val="solid"/>
                              <a:headEnd type="none" w="med" len="med"/>
                              <a:tailEnd type="none" w="med" len="med"/>
                            </a:ln>
                          </wps:spPr>
                          <wps:bodyPr upright="1"/>
                        </wps:wsp>
                        <wps:wsp>
                          <wps:cNvPr id="13" name="Line 165"/>
                          <wps:cNvCnPr/>
                          <wps:spPr>
                            <a:xfrm>
                              <a:off x="2550" y="2923"/>
                              <a:ext cx="268" cy="270"/>
                            </a:xfrm>
                            <a:prstGeom prst="line">
                              <a:avLst/>
                            </a:prstGeom>
                            <a:ln w="9525" cap="flat" cmpd="sng">
                              <a:solidFill>
                                <a:srgbClr val="000000"/>
                              </a:solidFill>
                              <a:prstDash val="solid"/>
                              <a:headEnd type="none" w="med" len="med"/>
                              <a:tailEnd type="none" w="med" len="med"/>
                            </a:ln>
                          </wps:spPr>
                          <wps:bodyPr upright="1"/>
                        </wps:wsp>
                        <wps:wsp>
                          <wps:cNvPr id="14" name="AutoShape 166"/>
                          <wps:cNvSpPr/>
                          <wps:spPr>
                            <a:xfrm>
                              <a:off x="3773" y="1188"/>
                              <a:ext cx="2340" cy="4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pPr>
                                  <w:jc w:val="center"/>
                                  <w:rPr>
                                    <w:sz w:val="15"/>
                                    <w:szCs w:val="15"/>
                                  </w:rPr>
                                </w:pPr>
                                <w:r>
                                  <w:rPr>
                                    <w:rFonts w:hint="eastAsia"/>
                                    <w:sz w:val="15"/>
                                    <w:szCs w:val="15"/>
                                  </w:rPr>
                                  <w:t>“科层-合作”制</w:t>
                                </w:r>
                              </w:p>
                            </w:txbxContent>
                          </wps:txbx>
                          <wps:bodyPr wrap="square" upright="1"/>
                        </wps:wsp>
                        <wps:wsp>
                          <wps:cNvPr id="15" name="AutoShape 167"/>
                          <wps:cNvSpPr/>
                          <wps:spPr>
                            <a:xfrm>
                              <a:off x="4794" y="1716"/>
                              <a:ext cx="179" cy="624"/>
                            </a:xfrm>
                            <a:prstGeom prst="upDownArrow">
                              <a:avLst>
                                <a:gd name="adj1" fmla="val 50000"/>
                                <a:gd name="adj2" fmla="val 69720"/>
                              </a:avLst>
                            </a:prstGeom>
                            <a:noFill/>
                            <a:ln w="9525" cap="flat" cmpd="sng">
                              <a:solidFill>
                                <a:srgbClr val="000000"/>
                              </a:solidFill>
                              <a:prstDash val="dash"/>
                              <a:miter/>
                              <a:headEnd type="none" w="med" len="med"/>
                              <a:tailEnd type="none" w="med" len="med"/>
                            </a:ln>
                          </wps:spPr>
                          <wps:bodyPr vert="eaVert" wrap="square" upright="1"/>
                        </wps:wsp>
                        <wps:wsp>
                          <wps:cNvPr id="16" name="Rectangle 168"/>
                          <wps:cNvSpPr/>
                          <wps:spPr>
                            <a:xfrm>
                              <a:off x="4793" y="1716"/>
                              <a:ext cx="900" cy="468"/>
                            </a:xfrm>
                            <a:prstGeom prst="rect">
                              <a:avLst/>
                            </a:prstGeom>
                            <a:noFill/>
                            <a:ln>
                              <a:noFill/>
                            </a:ln>
                          </wps:spPr>
                          <wps:txbx>
                            <w:txbxContent>
                              <w:p>
                                <w:pPr>
                                  <w:jc w:val="center"/>
                                  <w:rPr>
                                    <w:rFonts w:hint="eastAsia"/>
                                    <w:sz w:val="15"/>
                                    <w:szCs w:val="15"/>
                                  </w:rPr>
                                </w:pPr>
                                <w:r>
                                  <w:rPr>
                                    <w:rFonts w:hint="eastAsia"/>
                                    <w:sz w:val="15"/>
                                    <w:szCs w:val="15"/>
                                  </w:rPr>
                                  <w:t>相符</w:t>
                                </w:r>
                              </w:p>
                            </w:txbxContent>
                          </wps:txbx>
                          <wps:bodyPr wrap="square" upright="1"/>
                        </wps:wsp>
                        <wps:wsp>
                          <wps:cNvPr id="17" name="AutoShape 169"/>
                          <wps:cNvSpPr/>
                          <wps:spPr>
                            <a:xfrm>
                              <a:off x="4493" y="1716"/>
                              <a:ext cx="180" cy="624"/>
                            </a:xfrm>
                            <a:prstGeom prst="upArrow">
                              <a:avLst>
                                <a:gd name="adj1" fmla="val 50000"/>
                                <a:gd name="adj2" fmla="val 86666"/>
                              </a:avLst>
                            </a:prstGeom>
                            <a:solidFill>
                              <a:srgbClr val="FFFFFF"/>
                            </a:solidFill>
                            <a:ln w="9525" cap="flat" cmpd="sng">
                              <a:solidFill>
                                <a:srgbClr val="000000"/>
                              </a:solidFill>
                              <a:prstDash val="solid"/>
                              <a:miter/>
                              <a:headEnd type="none" w="med" len="med"/>
                              <a:tailEnd type="none" w="med" len="med"/>
                            </a:ln>
                          </wps:spPr>
                          <wps:bodyPr vert="eaVert" wrap="square" upright="1"/>
                        </wps:wsp>
                        <wps:wsp>
                          <wps:cNvPr id="18" name="Rectangle 170"/>
                          <wps:cNvSpPr/>
                          <wps:spPr>
                            <a:xfrm>
                              <a:off x="3773" y="1716"/>
                              <a:ext cx="900" cy="468"/>
                            </a:xfrm>
                            <a:prstGeom prst="rect">
                              <a:avLst/>
                            </a:prstGeom>
                            <a:noFill/>
                            <a:ln>
                              <a:noFill/>
                            </a:ln>
                          </wps:spPr>
                          <wps:txbx>
                            <w:txbxContent>
                              <w:p>
                                <w:pPr>
                                  <w:jc w:val="center"/>
                                  <w:rPr>
                                    <w:rFonts w:hint="eastAsia"/>
                                    <w:sz w:val="15"/>
                                    <w:szCs w:val="15"/>
                                  </w:rPr>
                                </w:pPr>
                                <w:r>
                                  <w:rPr>
                                    <w:rFonts w:hint="eastAsia"/>
                                    <w:sz w:val="15"/>
                                    <w:szCs w:val="15"/>
                                  </w:rPr>
                                  <w:t>弥补</w:t>
                                </w:r>
                              </w:p>
                            </w:txbxContent>
                          </wps:txbx>
                          <wps:bodyPr wrap="square" upright="1"/>
                        </wps:wsp>
                        <wps:wsp>
                          <wps:cNvPr id="19" name="Line 171"/>
                          <wps:cNvCnPr/>
                          <wps:spPr>
                            <a:xfrm>
                              <a:off x="5753" y="1716"/>
                              <a:ext cx="1" cy="2652"/>
                            </a:xfrm>
                            <a:prstGeom prst="line">
                              <a:avLst/>
                            </a:prstGeom>
                            <a:ln w="9525" cap="flat" cmpd="sng">
                              <a:solidFill>
                                <a:srgbClr val="000000"/>
                              </a:solidFill>
                              <a:prstDash val="solid"/>
                              <a:headEnd type="none" w="med" len="med"/>
                              <a:tailEnd type="triangle" w="med" len="med"/>
                            </a:ln>
                          </wps:spPr>
                          <wps:bodyPr upright="1"/>
                        </wps:wsp>
                        <wps:wsp>
                          <wps:cNvPr id="20" name="Rectangle 172"/>
                          <wps:cNvSpPr/>
                          <wps:spPr>
                            <a:xfrm>
                              <a:off x="5573" y="2652"/>
                              <a:ext cx="900" cy="468"/>
                            </a:xfrm>
                            <a:prstGeom prst="rect">
                              <a:avLst/>
                            </a:prstGeom>
                            <a:noFill/>
                            <a:ln>
                              <a:noFill/>
                            </a:ln>
                          </wps:spPr>
                          <wps:txbx>
                            <w:txbxContent>
                              <w:p>
                                <w:pPr>
                                  <w:jc w:val="center"/>
                                  <w:rPr>
                                    <w:rFonts w:hint="eastAsia"/>
                                    <w:sz w:val="15"/>
                                    <w:szCs w:val="15"/>
                                  </w:rPr>
                                </w:pPr>
                                <w:r>
                                  <w:rPr>
                                    <w:rFonts w:hint="eastAsia"/>
                                    <w:sz w:val="15"/>
                                    <w:szCs w:val="15"/>
                                  </w:rPr>
                                  <w:t>满足</w:t>
                                </w:r>
                              </w:p>
                            </w:txbxContent>
                          </wps:txbx>
                          <wps:bodyPr wrap="square" upright="1"/>
                        </wps:wsp>
                        <wps:wsp>
                          <wps:cNvPr id="21" name="Rectangle 173"/>
                          <wps:cNvSpPr/>
                          <wps:spPr>
                            <a:xfrm>
                              <a:off x="3548" y="579"/>
                              <a:ext cx="1440" cy="468"/>
                            </a:xfrm>
                            <a:prstGeom prst="rect">
                              <a:avLst/>
                            </a:prstGeom>
                            <a:noFill/>
                            <a:ln>
                              <a:noFill/>
                            </a:ln>
                          </wps:spPr>
                          <wps:txbx>
                            <w:txbxContent>
                              <w:p>
                                <w:pPr>
                                  <w:jc w:val="center"/>
                                  <w:rPr>
                                    <w:rFonts w:hint="eastAsia"/>
                                    <w:sz w:val="15"/>
                                    <w:szCs w:val="15"/>
                                  </w:rPr>
                                </w:pPr>
                                <w:r>
                                  <w:rPr>
                                    <w:rFonts w:hint="eastAsia"/>
                                    <w:sz w:val="15"/>
                                    <w:szCs w:val="15"/>
                                  </w:rPr>
                                  <w:t>管理体制改进</w:t>
                                </w:r>
                              </w:p>
                            </w:txbxContent>
                          </wps:txbx>
                          <wps:bodyPr wrap="square" upright="1"/>
                        </wps:wsp>
                        <wps:wsp>
                          <wps:cNvPr id="22" name="AutoShape 174"/>
                          <wps:cNvSpPr/>
                          <wps:spPr>
                            <a:xfrm>
                              <a:off x="1433" y="468"/>
                              <a:ext cx="540" cy="156"/>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wrap="square" upright="1"/>
                        </wps:wsp>
                        <wps:wsp>
                          <wps:cNvPr id="23" name="AutoShape 175"/>
                          <wps:cNvSpPr/>
                          <wps:spPr>
                            <a:xfrm rot="16200000">
                              <a:off x="2381" y="2190"/>
                              <a:ext cx="624" cy="180"/>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wrap="square" upright="1"/>
                        </wps:wsp>
                        <wps:wsp>
                          <wps:cNvPr id="24" name="Line 176"/>
                          <wps:cNvCnPr/>
                          <wps:spPr>
                            <a:xfrm flipH="1">
                              <a:off x="6473" y="238"/>
                              <a:ext cx="4" cy="4130"/>
                            </a:xfrm>
                            <a:prstGeom prst="line">
                              <a:avLst/>
                            </a:prstGeom>
                            <a:ln w="9525" cap="flat" cmpd="sng">
                              <a:solidFill>
                                <a:srgbClr val="000000"/>
                              </a:solidFill>
                              <a:prstDash val="solid"/>
                              <a:headEnd type="none" w="med" len="med"/>
                              <a:tailEnd type="triangle" w="med" len="med"/>
                            </a:ln>
                          </wps:spPr>
                          <wps:bodyPr upright="1"/>
                        </wps:wsp>
                        <wps:wsp>
                          <wps:cNvPr id="25" name="Line 177"/>
                          <wps:cNvCnPr/>
                          <wps:spPr>
                            <a:xfrm>
                              <a:off x="3356" y="231"/>
                              <a:ext cx="3117" cy="1"/>
                            </a:xfrm>
                            <a:prstGeom prst="line">
                              <a:avLst/>
                            </a:prstGeom>
                            <a:ln w="9525" cap="flat" cmpd="sng">
                              <a:solidFill>
                                <a:srgbClr val="000000"/>
                              </a:solidFill>
                              <a:prstDash val="solid"/>
                              <a:headEnd type="none" w="med" len="med"/>
                              <a:tailEnd type="none" w="med" len="med"/>
                            </a:ln>
                          </wps:spPr>
                          <wps:bodyPr upright="1"/>
                        </wps:wsp>
                        <wps:wsp>
                          <wps:cNvPr id="26" name="Line 178"/>
                          <wps:cNvCnPr/>
                          <wps:spPr>
                            <a:xfrm flipV="1">
                              <a:off x="4313" y="3744"/>
                              <a:ext cx="1" cy="624"/>
                            </a:xfrm>
                            <a:prstGeom prst="line">
                              <a:avLst/>
                            </a:prstGeom>
                            <a:ln w="9525" cap="flat" cmpd="sng">
                              <a:solidFill>
                                <a:srgbClr val="000000"/>
                              </a:solidFill>
                              <a:prstDash val="solid"/>
                              <a:headEnd type="none" w="med" len="med"/>
                              <a:tailEnd type="triangle" w="med" len="med"/>
                            </a:ln>
                          </wps:spPr>
                          <wps:bodyPr upright="1"/>
                        </wps:wsp>
                        <wps:wsp>
                          <wps:cNvPr id="27" name="Line 179"/>
                          <wps:cNvCnPr/>
                          <wps:spPr>
                            <a:xfrm>
                              <a:off x="3581" y="553"/>
                              <a:ext cx="13" cy="851"/>
                            </a:xfrm>
                            <a:prstGeom prst="line">
                              <a:avLst/>
                            </a:prstGeom>
                            <a:ln w="9525" cap="flat" cmpd="sng">
                              <a:solidFill>
                                <a:srgbClr val="000000"/>
                              </a:solidFill>
                              <a:prstDash val="solid"/>
                              <a:headEnd type="none" w="med" len="med"/>
                              <a:tailEnd type="none" w="med" len="med"/>
                            </a:ln>
                          </wps:spPr>
                          <wps:bodyPr upright="1"/>
                        </wps:wsp>
                        <wps:wsp>
                          <wps:cNvPr id="28" name="Line 180"/>
                          <wps:cNvCnPr/>
                          <wps:spPr>
                            <a:xfrm>
                              <a:off x="3413" y="1404"/>
                              <a:ext cx="180" cy="0"/>
                            </a:xfrm>
                            <a:prstGeom prst="line">
                              <a:avLst/>
                            </a:prstGeom>
                            <a:ln w="9525" cap="flat" cmpd="sng">
                              <a:solidFill>
                                <a:srgbClr val="000000"/>
                              </a:solidFill>
                              <a:prstDash val="solid"/>
                              <a:headEnd type="none" w="med" len="med"/>
                              <a:tailEnd type="none" w="med" len="med"/>
                            </a:ln>
                          </wps:spPr>
                          <wps:bodyPr upright="1"/>
                        </wps:wsp>
                        <wps:wsp>
                          <wps:cNvPr id="29" name="Line 181"/>
                          <wps:cNvCnPr/>
                          <wps:spPr>
                            <a:xfrm>
                              <a:off x="3593" y="936"/>
                              <a:ext cx="1080" cy="1"/>
                            </a:xfrm>
                            <a:prstGeom prst="line">
                              <a:avLst/>
                            </a:prstGeom>
                            <a:ln w="9525" cap="flat" cmpd="sng">
                              <a:solidFill>
                                <a:srgbClr val="000000"/>
                              </a:solidFill>
                              <a:prstDash val="solid"/>
                              <a:headEnd type="none" w="med" len="med"/>
                              <a:tailEnd type="none" w="med" len="med"/>
                            </a:ln>
                          </wps:spPr>
                          <wps:bodyPr upright="1"/>
                        </wps:wsp>
                        <wps:wsp>
                          <wps:cNvPr id="30" name="Line 182"/>
                          <wps:cNvCnPr/>
                          <wps:spPr>
                            <a:xfrm>
                              <a:off x="4673" y="936"/>
                              <a:ext cx="1" cy="312"/>
                            </a:xfrm>
                            <a:prstGeom prst="line">
                              <a:avLst/>
                            </a:prstGeom>
                            <a:ln w="9525" cap="flat" cmpd="sng">
                              <a:solidFill>
                                <a:srgbClr val="000000"/>
                              </a:solidFill>
                              <a:prstDash val="solid"/>
                              <a:headEnd type="none" w="med" len="med"/>
                              <a:tailEnd type="triangle" w="med" len="med"/>
                            </a:ln>
                          </wps:spPr>
                          <wps:bodyPr upright="1"/>
                        </wps:wsp>
                        <wps:wsp>
                          <wps:cNvPr id="31" name="Rectangle 183"/>
                          <wps:cNvSpPr/>
                          <wps:spPr>
                            <a:xfrm>
                              <a:off x="240" y="936"/>
                              <a:ext cx="833" cy="750"/>
                            </a:xfrm>
                            <a:prstGeom prst="rect">
                              <a:avLst/>
                            </a:prstGeom>
                            <a:noFill/>
                            <a:ln>
                              <a:noFill/>
                            </a:ln>
                          </wps:spPr>
                          <wps:txbx>
                            <w:txbxContent>
                              <w:p>
                                <w:pPr>
                                  <w:jc w:val="center"/>
                                  <w:rPr>
                                    <w:rFonts w:hint="eastAsia"/>
                                    <w:sz w:val="15"/>
                                    <w:szCs w:val="15"/>
                                  </w:rPr>
                                </w:pPr>
                                <w:r>
                                  <w:rPr>
                                    <w:rFonts w:hint="eastAsia"/>
                                    <w:sz w:val="15"/>
                                    <w:szCs w:val="15"/>
                                  </w:rPr>
                                  <w:t>高效</w:t>
                                </w:r>
                              </w:p>
                              <w:p>
                                <w:pPr>
                                  <w:jc w:val="center"/>
                                  <w:rPr>
                                    <w:rFonts w:hint="eastAsia"/>
                                    <w:sz w:val="18"/>
                                    <w:szCs w:val="18"/>
                                  </w:rPr>
                                </w:pPr>
                                <w:r>
                                  <w:rPr>
                                    <w:rFonts w:hint="eastAsia"/>
                                    <w:sz w:val="15"/>
                                    <w:szCs w:val="15"/>
                                  </w:rPr>
                                  <w:t>适用</w:t>
                                </w:r>
                              </w:p>
                            </w:txbxContent>
                          </wps:txbx>
                          <wps:bodyPr wrap="square" upright="1"/>
                        </wps:wsp>
                        <wps:wsp>
                          <wps:cNvPr id="32" name="Rectangle 184"/>
                          <wps:cNvSpPr/>
                          <wps:spPr>
                            <a:xfrm>
                              <a:off x="6353" y="1872"/>
                              <a:ext cx="720" cy="780"/>
                            </a:xfrm>
                            <a:prstGeom prst="rect">
                              <a:avLst/>
                            </a:prstGeom>
                            <a:noFill/>
                            <a:ln>
                              <a:noFill/>
                            </a:ln>
                          </wps:spPr>
                          <wps:txbx>
                            <w:txbxContent>
                              <w:p>
                                <w:pPr>
                                  <w:jc w:val="center"/>
                                  <w:rPr>
                                    <w:rFonts w:hint="eastAsia"/>
                                    <w:sz w:val="18"/>
                                    <w:szCs w:val="18"/>
                                  </w:rPr>
                                </w:pPr>
                                <w:r>
                                  <w:rPr>
                                    <w:rFonts w:hint="eastAsia"/>
                                    <w:sz w:val="15"/>
                                    <w:szCs w:val="15"/>
                                  </w:rPr>
                                  <w:t>目标需求</w:t>
                                </w:r>
                              </w:p>
                            </w:txbxContent>
                          </wps:txbx>
                          <wps:bodyPr wrap="square" upright="1"/>
                        </wps:wsp>
                        <wpg:grpSp>
                          <wpg:cNvPr id="35" name="Group 185"/>
                          <wpg:cNvGrpSpPr/>
                          <wpg:grpSpPr>
                            <a:xfrm>
                              <a:off x="173" y="312"/>
                              <a:ext cx="1380" cy="468"/>
                              <a:chOff x="0" y="0"/>
                              <a:chExt cx="1380" cy="468"/>
                            </a:xfrm>
                          </wpg:grpSpPr>
                          <wps:wsp>
                            <wps:cNvPr id="33" name="Oval 186"/>
                            <wps:cNvSpPr/>
                            <wps:spPr>
                              <a:xfrm>
                                <a:off x="0" y="0"/>
                                <a:ext cx="1260" cy="468"/>
                              </a:xfrm>
                              <a:prstGeom prst="ellipse">
                                <a:avLst/>
                              </a:prstGeom>
                              <a:solidFill>
                                <a:srgbClr val="969696"/>
                              </a:solidFill>
                              <a:ln w="9525" cap="flat" cmpd="sng">
                                <a:solidFill>
                                  <a:srgbClr val="000000"/>
                                </a:solidFill>
                                <a:prstDash val="solid"/>
                                <a:headEnd type="none" w="med" len="med"/>
                                <a:tailEnd type="none" w="med" len="med"/>
                              </a:ln>
                            </wps:spPr>
                            <wps:bodyPr wrap="square" upright="1"/>
                          </wps:wsp>
                          <wps:wsp>
                            <wps:cNvPr id="34" name="Rectangle 187"/>
                            <wps:cNvSpPr/>
                            <wps:spPr>
                              <a:xfrm>
                                <a:off x="120" y="0"/>
                                <a:ext cx="1260" cy="468"/>
                              </a:xfrm>
                              <a:prstGeom prst="rect">
                                <a:avLst/>
                              </a:prstGeom>
                              <a:noFill/>
                              <a:ln>
                                <a:noFill/>
                              </a:ln>
                            </wps:spPr>
                            <wps:txbx>
                              <w:txbxContent>
                                <w:p>
                                  <w:pPr>
                                    <w:rPr>
                                      <w:rFonts w:hint="eastAsia" w:ascii="宋体" w:hAnsi="宋体" w:cs="宋体"/>
                                      <w:sz w:val="15"/>
                                      <w:szCs w:val="15"/>
                                    </w:rPr>
                                  </w:pPr>
                                  <w:r>
                                    <w:rPr>
                                      <w:rFonts w:hint="eastAsia" w:ascii="宋体" w:hAnsi="宋体" w:cs="宋体"/>
                                      <w:sz w:val="15"/>
                                      <w:szCs w:val="15"/>
                                    </w:rPr>
                                    <w:t>常态环境</w:t>
                                  </w:r>
                                </w:p>
                              </w:txbxContent>
                            </wps:txbx>
                            <wps:bodyPr wrap="square" upright="1"/>
                          </wps:wsp>
                        </wpg:grpSp>
                        <wpg:grpSp>
                          <wpg:cNvPr id="39" name="Group 188"/>
                          <wpg:cNvGrpSpPr/>
                          <wpg:grpSpPr>
                            <a:xfrm>
                              <a:off x="1973" y="0"/>
                              <a:ext cx="1620" cy="936"/>
                              <a:chOff x="0" y="0"/>
                              <a:chExt cx="1620" cy="780"/>
                            </a:xfrm>
                          </wpg:grpSpPr>
                          <wps:wsp>
                            <wps:cNvPr id="36" name="AutoShape 189"/>
                            <wps:cNvSpPr/>
                            <wps:spPr>
                              <a:xfrm>
                                <a:off x="0" y="0"/>
                                <a:ext cx="1440" cy="780"/>
                              </a:xfrm>
                              <a:prstGeom prst="irregularSeal1">
                                <a:avLst/>
                              </a:prstGeom>
                              <a:solidFill>
                                <a:srgbClr val="969696"/>
                              </a:solidFill>
                              <a:ln w="9525" cap="flat" cmpd="sng">
                                <a:solidFill>
                                  <a:srgbClr val="000000"/>
                                </a:solidFill>
                                <a:prstDash val="solid"/>
                                <a:miter/>
                                <a:headEnd type="none" w="med" len="med"/>
                                <a:tailEnd type="none" w="med" len="med"/>
                              </a:ln>
                            </wps:spPr>
                            <wps:bodyPr wrap="square" upright="1"/>
                          </wps:wsp>
                          <wps:wsp>
                            <wps:cNvPr id="37" name="Line 190"/>
                            <wps:cNvCnPr/>
                            <wps:spPr>
                              <a:xfrm>
                                <a:off x="1440" y="468"/>
                                <a:ext cx="180" cy="0"/>
                              </a:xfrm>
                              <a:prstGeom prst="line">
                                <a:avLst/>
                              </a:prstGeom>
                              <a:ln w="9525" cap="flat" cmpd="sng">
                                <a:solidFill>
                                  <a:srgbClr val="000000"/>
                                </a:solidFill>
                                <a:prstDash val="solid"/>
                                <a:headEnd type="none" w="med" len="med"/>
                                <a:tailEnd type="none" w="med" len="med"/>
                              </a:ln>
                            </wps:spPr>
                            <wps:bodyPr upright="1"/>
                          </wps:wsp>
                          <wps:wsp>
                            <wps:cNvPr id="38" name="Rectangle 191"/>
                            <wps:cNvSpPr/>
                            <wps:spPr>
                              <a:xfrm>
                                <a:off x="180" y="156"/>
                                <a:ext cx="1080" cy="468"/>
                              </a:xfrm>
                              <a:prstGeom prst="rect">
                                <a:avLst/>
                              </a:prstGeom>
                              <a:noFill/>
                              <a:ln>
                                <a:noFill/>
                              </a:ln>
                            </wps:spPr>
                            <wps:txbx>
                              <w:txbxContent>
                                <w:p>
                                  <w:pPr>
                                    <w:rPr>
                                      <w:rFonts w:hint="eastAsia" w:ascii="宋体" w:hAnsi="宋体" w:cs="宋体"/>
                                      <w:sz w:val="15"/>
                                      <w:szCs w:val="15"/>
                                    </w:rPr>
                                  </w:pPr>
                                  <w:r>
                                    <w:rPr>
                                      <w:rFonts w:hint="eastAsia" w:ascii="宋体" w:hAnsi="宋体" w:cs="宋体"/>
                                      <w:sz w:val="15"/>
                                      <w:szCs w:val="15"/>
                                    </w:rPr>
                                    <w:t>应急环境</w:t>
                                  </w:r>
                                </w:p>
                              </w:txbxContent>
                            </wps:txbx>
                            <wps:bodyPr wrap="square" upright="1"/>
                          </wps:wsp>
                        </wpg:grpSp>
                        <wpg:grpSp>
                          <wpg:cNvPr id="42" name="Group 192"/>
                          <wpg:cNvGrpSpPr/>
                          <wpg:grpSpPr>
                            <a:xfrm>
                              <a:off x="1973" y="1092"/>
                              <a:ext cx="1440" cy="780"/>
                              <a:chOff x="0" y="0"/>
                              <a:chExt cx="1440" cy="780"/>
                            </a:xfrm>
                          </wpg:grpSpPr>
                          <wps:wsp>
                            <wps:cNvPr id="40" name="AutoShape 193"/>
                            <wps:cNvSpPr/>
                            <wps:spPr>
                              <a:xfrm>
                                <a:off x="0" y="0"/>
                                <a:ext cx="1440" cy="780"/>
                              </a:xfrm>
                              <a:prstGeom prst="irregularSeal1">
                                <a:avLst/>
                              </a:prstGeom>
                              <a:solidFill>
                                <a:srgbClr val="969696"/>
                              </a:solidFill>
                              <a:ln w="9525" cap="flat" cmpd="sng">
                                <a:solidFill>
                                  <a:srgbClr val="000000"/>
                                </a:solidFill>
                                <a:prstDash val="solid"/>
                                <a:miter/>
                                <a:headEnd type="none" w="med" len="med"/>
                                <a:tailEnd type="none" w="med" len="med"/>
                              </a:ln>
                            </wps:spPr>
                            <wps:bodyPr wrap="square" upright="1"/>
                          </wps:wsp>
                          <wps:wsp>
                            <wps:cNvPr id="41" name="Rectangle 194"/>
                            <wps:cNvSpPr/>
                            <wps:spPr>
                              <a:xfrm>
                                <a:off x="180" y="156"/>
                                <a:ext cx="1080" cy="468"/>
                              </a:xfrm>
                              <a:prstGeom prst="rect">
                                <a:avLst/>
                              </a:prstGeom>
                              <a:noFill/>
                              <a:ln>
                                <a:noFill/>
                              </a:ln>
                            </wps:spPr>
                            <wps:txbx>
                              <w:txbxContent>
                                <w:p>
                                  <w:pPr>
                                    <w:rPr>
                                      <w:rFonts w:hint="eastAsia" w:ascii="宋体" w:hAnsi="宋体" w:cs="宋体"/>
                                      <w:sz w:val="15"/>
                                      <w:szCs w:val="15"/>
                                    </w:rPr>
                                  </w:pPr>
                                  <w:r>
                                    <w:rPr>
                                      <w:rFonts w:hint="eastAsia" w:ascii="宋体" w:hAnsi="宋体" w:cs="宋体"/>
                                      <w:sz w:val="15"/>
                                      <w:szCs w:val="15"/>
                                    </w:rPr>
                                    <w:t>管理混沌</w:t>
                                  </w:r>
                                </w:p>
                              </w:txbxContent>
                            </wps:txbx>
                            <wps:bodyPr wrap="square" upright="1"/>
                          </wps:wsp>
                        </wpg:grpSp>
                        <wps:wsp>
                          <wps:cNvPr id="43" name="Line 195"/>
                          <wps:cNvCnPr/>
                          <wps:spPr>
                            <a:xfrm flipV="1">
                              <a:off x="893" y="780"/>
                              <a:ext cx="0" cy="1092"/>
                            </a:xfrm>
                            <a:prstGeom prst="line">
                              <a:avLst/>
                            </a:prstGeom>
                            <a:ln w="9525" cap="flat" cmpd="sng">
                              <a:solidFill>
                                <a:srgbClr val="000000"/>
                              </a:solidFill>
                              <a:prstDash val="dash"/>
                              <a:headEnd type="none" w="med" len="med"/>
                              <a:tailEnd type="triangle" w="med" len="med"/>
                            </a:ln>
                          </wps:spPr>
                          <wps:bodyPr upright="1"/>
                        </wps:wsp>
                        <wps:wsp>
                          <wps:cNvPr id="44" name="Line 196"/>
                          <wps:cNvCnPr/>
                          <wps:spPr>
                            <a:xfrm flipH="1">
                              <a:off x="3353" y="397"/>
                              <a:ext cx="1773" cy="6"/>
                            </a:xfrm>
                            <a:prstGeom prst="line">
                              <a:avLst/>
                            </a:prstGeom>
                            <a:ln w="9525" cap="flat" cmpd="sng">
                              <a:solidFill>
                                <a:srgbClr val="000000"/>
                              </a:solidFill>
                              <a:prstDash val="dash"/>
                              <a:headEnd type="none" w="med" len="med"/>
                              <a:tailEnd type="triangle" w="med" len="med"/>
                            </a:ln>
                          </wps:spPr>
                          <wps:bodyPr upright="1"/>
                        </wps:wsp>
                        <wps:wsp>
                          <wps:cNvPr id="45" name="Line 197"/>
                          <wps:cNvCnPr/>
                          <wps:spPr>
                            <a:xfrm>
                              <a:off x="5138" y="402"/>
                              <a:ext cx="1" cy="780"/>
                            </a:xfrm>
                            <a:prstGeom prst="line">
                              <a:avLst/>
                            </a:prstGeom>
                            <a:ln w="9525" cap="flat" cmpd="sng">
                              <a:solidFill>
                                <a:srgbClr val="000000"/>
                              </a:solidFill>
                              <a:prstDash val="dash"/>
                              <a:headEnd type="none" w="med" len="med"/>
                              <a:tailEnd type="none" w="med" len="med"/>
                            </a:ln>
                          </wps:spPr>
                          <wps:bodyPr upright="1"/>
                        </wps:wsp>
                        <wps:wsp>
                          <wps:cNvPr id="46" name="Rectangle 198"/>
                          <wps:cNvSpPr/>
                          <wps:spPr>
                            <a:xfrm>
                              <a:off x="4943" y="534"/>
                              <a:ext cx="833" cy="423"/>
                            </a:xfrm>
                            <a:prstGeom prst="rect">
                              <a:avLst/>
                            </a:prstGeom>
                            <a:noFill/>
                            <a:ln>
                              <a:noFill/>
                            </a:ln>
                          </wps:spPr>
                          <wps:txbx>
                            <w:txbxContent>
                              <w:p>
                                <w:pPr>
                                  <w:jc w:val="center"/>
                                  <w:rPr>
                                    <w:rFonts w:hint="eastAsia"/>
                                    <w:sz w:val="15"/>
                                    <w:szCs w:val="15"/>
                                  </w:rPr>
                                </w:pPr>
                                <w:r>
                                  <w:rPr>
                                    <w:rFonts w:hint="eastAsia"/>
                                    <w:sz w:val="15"/>
                                    <w:szCs w:val="15"/>
                                  </w:rPr>
                                  <w:t>适用</w:t>
                                </w:r>
                              </w:p>
                            </w:txbxContent>
                          </wps:txbx>
                          <wps:bodyPr wrap="square" upright="1"/>
                        </wps:wsp>
                      </wpg:grpSp>
                    </wpg:wgp>
                  </a:graphicData>
                </a:graphic>
              </wp:inline>
            </w:drawing>
          </mc:Choice>
          <mc:Fallback>
            <w:pict>
              <v:group id="Group 151" o:spid="_x0000_s1026" o:spt="203" style="height:241.8pt;width:353.65pt;" coordsize="7073,4836" o:gfxdata="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WAAAAZHJzL1BLAQIUABQAAAAIAIdO4kAIibvx1wAAAAUBAAAP&#10;AAAAAAAAAAEAIAAAADgAAABkcnMvZG93bnJldi54bWxQSwECFAAUAAAACACHTuJAZ94hjggMAAA3&#10;ZwAADgAAAAAAAAABACAAAAA8AQAAZHJzL2Uyb0RvYy54bWxQSwUGAAAAAAYABgBZAQAAtg8AAAAA&#10;">
                <o:lock v:ext="edit" aspectratio="f"/>
                <v:rect id="Picture 152" o:spid="_x0000_s1026" o:spt="1" style="position:absolute;left:0;top:0;height:4836;width:7073;" filled="f" stroked="f" coordsize="21600,21600" o:gfxdata="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DgpTboAAADaAAAADwAAAAAAAAABACAAAAA4AAAAZHJzL2Rvd25yZXYueG1s&#10;UEsBAhQAFAAAAAgAh07iQDMvBZ47AAAAOQAAABAAAAAAAAAAAQAgAAAAHwEAAGRycy9zaGFwZXht&#10;bC54bWxQSwUGAAAAAAYABgBbAQAAyQMAAAAA&#10;">
                  <v:fill on="f" focussize="0,0"/>
                  <v:stroke on="f"/>
                  <v:imagedata o:title=""/>
                  <o:lock v:ext="edit" text="t" aspectratio="t"/>
                </v:rect>
                <v:group id="Group 153" o:spid="_x0000_s1026" o:spt="203" style="position:absolute;left:0;top:0;height:4836;width:7073;" coordsize="7073,4836" o:gfxdata="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blQmfL8AAADbAAAADwAAAAAAAAAB&#10;ACAAAAA4AAAAZHJzL2Rvd25yZXYueG1sUEsBAhQAFAAAAAgAh07iQDMvBZ47AAAAOQAAABUAAAAA&#10;AAAAAQAgAAAAJAEAAGRycy9ncm91cHNoYXBleG1sLnhtbFBLBQYAAAAABgAGAGABAADhAwAAAAA=&#10;">
                  <o:lock v:ext="edit" aspectratio="f"/>
                  <v:roundrect id="AutoShape 154" o:spid="_x0000_s1026" o:spt="2" style="position:absolute;left:0;top:1872;height:2028;width:1980;" fillcolor="#FFFFFF" filled="t" stroked="t" coordsize="21600,21600" arcsize="0.11537037037037" o:gfxdata="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a/1C9vAAAANoAAAAPAAAAAAAAAAEAIAAAADgAAABkcnMvZG93bnJldi54&#10;bWxQSwECFAAUAAAACACHTuJAMy8FnjsAAAA5AAAAEAAAAAAAAAABACAAAAAhAQAAZHJzL3NoYXBl&#10;eG1sLnhtbFBLBQYAAAAABgAGAFsBAADLAwAAAAA=&#10;">
                    <v:fill on="t" focussize="0,0"/>
                    <v:stroke color="#000000" joinstyle="round"/>
                    <v:imagedata o:title=""/>
                    <o:lock v:ext="edit" aspectratio="f"/>
                    <v:shadow on="t" color="#808080" offset="2pt,2pt" origin="0f,0f" matrix="65536f,0f,0f,65536f"/>
                  </v:roundrect>
                  <v:rect id="Rectangle 155" o:spid="_x0000_s1026" o:spt="1" style="position:absolute;left:180;top:2340;height:1404;width:1620;" fillcolor="#FFFFFF" filled="t" stroked="t" coordsize="21600,21600" o:gfxdata="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lduN70AAADaAAAADwAAAAAAAAABACAAAAA4AAAAZHJzL2Rvd25yZXYu&#10;eG1sUEsBAhQAFAAAAAgAh07iQDMvBZ47AAAAOQAAABAAAAAAAAAAAQAgAAAAIgEAAGRycy9zaGFw&#10;ZXhtbC54bWxQSwUGAAAAAAYABgBbAQAAzAMAAAAA&#10;">
                    <v:fill on="t" focussize="0,0"/>
                    <v:stroke color="#000000" joinstyle="miter" dashstyle="dash"/>
                    <v:imagedata o:title=""/>
                    <o:lock v:ext="edit" aspectratio="f"/>
                    <v:textbox>
                      <w:txbxContent>
                        <w:p>
                          <w:pPr>
                            <w:rPr>
                              <w:rFonts w:hint="eastAsia"/>
                              <w:sz w:val="15"/>
                              <w:szCs w:val="15"/>
                            </w:rPr>
                          </w:pPr>
                          <w:r>
                            <w:rPr>
                              <w:rFonts w:hint="eastAsia"/>
                              <w:sz w:val="15"/>
                              <w:szCs w:val="15"/>
                            </w:rPr>
                            <w:t>层级权限</w:t>
                          </w:r>
                        </w:p>
                        <w:p>
                          <w:pPr>
                            <w:rPr>
                              <w:rFonts w:hint="eastAsia"/>
                              <w:sz w:val="15"/>
                              <w:szCs w:val="15"/>
                            </w:rPr>
                          </w:pPr>
                          <w:r>
                            <w:rPr>
                              <w:rFonts w:hint="eastAsia"/>
                              <w:sz w:val="15"/>
                              <w:szCs w:val="15"/>
                            </w:rPr>
                            <w:t>非人格化</w:t>
                          </w:r>
                        </w:p>
                        <w:p>
                          <w:pPr>
                            <w:rPr>
                              <w:rFonts w:hint="eastAsia"/>
                              <w:sz w:val="15"/>
                              <w:szCs w:val="15"/>
                            </w:rPr>
                          </w:pPr>
                          <w:r>
                            <w:rPr>
                              <w:rFonts w:hint="eastAsia"/>
                              <w:sz w:val="15"/>
                              <w:szCs w:val="15"/>
                            </w:rPr>
                            <w:t>专业分工</w:t>
                          </w:r>
                        </w:p>
                        <w:p>
                          <w:pPr>
                            <w:rPr>
                              <w:rFonts w:hint="eastAsia"/>
                              <w:sz w:val="15"/>
                              <w:szCs w:val="15"/>
                            </w:rPr>
                          </w:pPr>
                          <w:r>
                            <w:rPr>
                              <w:rFonts w:hint="eastAsia"/>
                              <w:sz w:val="15"/>
                              <w:szCs w:val="15"/>
                            </w:rPr>
                            <w:t>单通道信息途径</w:t>
                          </w:r>
                        </w:p>
                      </w:txbxContent>
                    </v:textbox>
                  </v:rect>
                  <v:rect id="Rectangle 156" o:spid="_x0000_s1026" o:spt="1" style="position:absolute;left:533;top:1872;height:468;width:900;" filled="f" stroked="f" coordsize="21600,21600" o:gfxdata="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3E+K1b0AAADaAAAADwAAAAAAAAABACAAAAA4AAAAZHJzL2Rvd25yZXYu&#10;eG1sUEsBAhQAFAAAAAgAh07iQDMvBZ47AAAAOQAAABAAAAAAAAAAAQAgAAAAIgEAAGRycy9zaGFw&#10;ZXhtbC54bWxQSwUGAAAAAAYABgBbAQAAzAMAAAAA&#10;">
                    <v:fill on="f" focussize="0,0"/>
                    <v:stroke on="f"/>
                    <v:imagedata o:title=""/>
                    <o:lock v:ext="edit" aspectratio="f"/>
                    <v:textbox>
                      <w:txbxContent>
                        <w:p>
                          <w:pPr>
                            <w:rPr>
                              <w:rFonts w:hint="eastAsia"/>
                              <w:sz w:val="15"/>
                              <w:szCs w:val="15"/>
                            </w:rPr>
                          </w:pPr>
                          <w:r>
                            <w:rPr>
                              <w:rFonts w:hint="eastAsia"/>
                              <w:sz w:val="15"/>
                              <w:szCs w:val="15"/>
                            </w:rPr>
                            <w:t>科层制</w:t>
                          </w:r>
                        </w:p>
                      </w:txbxContent>
                    </v:textbox>
                  </v:rect>
                  <v:rect id="Rectangle 157" o:spid="_x0000_s1026" o:spt="1" style="position:absolute;left:4223;top:3684;height:780;width:720;" filled="f" stroked="f" coordsize="21600,21600" o:gfxdata="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wMvTr0AAADaAAAADwAAAAAAAAABACAAAAA4AAAAZHJzL2Rvd25yZXYu&#10;eG1sUEsBAhQAFAAAAAgAh07iQDMvBZ47AAAAOQAAABAAAAAAAAAAAQAgAAAAIgEAAGRycy9zaGFw&#10;ZXhtbC54bWxQSwUGAAAAAAYABgBbAQAAzAMAAAAA&#10;">
                    <v:fill on="f" focussize="0,0"/>
                    <v:stroke on="f"/>
                    <v:imagedata o:title=""/>
                    <o:lock v:ext="edit" aspectratio="f"/>
                    <v:textbox>
                      <w:txbxContent>
                        <w:p>
                          <w:pPr>
                            <w:jc w:val="center"/>
                            <w:rPr>
                              <w:rFonts w:hint="eastAsia"/>
                              <w:sz w:val="15"/>
                              <w:szCs w:val="15"/>
                            </w:rPr>
                          </w:pPr>
                          <w:r>
                            <w:rPr>
                              <w:rFonts w:hint="eastAsia"/>
                              <w:sz w:val="15"/>
                              <w:szCs w:val="15"/>
                            </w:rPr>
                            <w:t>条件需求</w:t>
                          </w:r>
                        </w:p>
                      </w:txbxContent>
                    </v:textbox>
                  </v:rect>
                  <v:rect id="Rectangle 158" o:spid="_x0000_s1026" o:spt="1" style="position:absolute;left:3413;top:2340;height:1404;width:1980;" fillcolor="#FFFFFF" filled="t" stroked="t" coordsize="21600,21600" o:gfxdata="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iDNr70AAADaAAAADwAAAAAAAAABACAAAAA4AAAAZHJzL2Rvd25yZXYu&#10;eG1sUEsBAhQAFAAAAAgAh07iQDMvBZ47AAAAOQAAABAAAAAAAAAAAQAgAAAAIgEAAGRycy9zaGFw&#10;ZXhtbC54bWxQSwUGAAAAAAYABgBbAQAAzAMAAAAA&#10;">
                    <v:fill on="t" focussize="0,0"/>
                    <v:stroke color="#000000" joinstyle="miter" dashstyle="dash"/>
                    <v:imagedata o:title=""/>
                    <o:lock v:ext="edit" aspectratio="f"/>
                    <v:textbox>
                      <w:txbxContent>
                        <w:p>
                          <w:pPr>
                            <w:rPr>
                              <w:rFonts w:hint="eastAsia"/>
                              <w:sz w:val="15"/>
                              <w:szCs w:val="15"/>
                            </w:rPr>
                          </w:pPr>
                          <w:r>
                            <w:rPr>
                              <w:rFonts w:hint="eastAsia"/>
                              <w:sz w:val="15"/>
                              <w:szCs w:val="15"/>
                            </w:rPr>
                            <w:t>多主体参与</w:t>
                          </w:r>
                        </w:p>
                        <w:p>
                          <w:pPr>
                            <w:rPr>
                              <w:rFonts w:hint="eastAsia"/>
                              <w:sz w:val="15"/>
                              <w:szCs w:val="15"/>
                            </w:rPr>
                          </w:pPr>
                          <w:r>
                            <w:rPr>
                              <w:rFonts w:hint="eastAsia"/>
                              <w:sz w:val="15"/>
                              <w:szCs w:val="15"/>
                            </w:rPr>
                            <w:t>以人为本</w:t>
                          </w:r>
                        </w:p>
                        <w:p>
                          <w:pPr>
                            <w:rPr>
                              <w:rFonts w:hint="eastAsia"/>
                              <w:sz w:val="15"/>
                              <w:szCs w:val="15"/>
                            </w:rPr>
                          </w:pPr>
                          <w:r>
                            <w:rPr>
                              <w:rFonts w:hint="eastAsia"/>
                              <w:sz w:val="15"/>
                              <w:szCs w:val="15"/>
                            </w:rPr>
                            <w:t>任务导向机构重组</w:t>
                          </w:r>
                        </w:p>
                        <w:p>
                          <w:pPr>
                            <w:rPr>
                              <w:rFonts w:hint="eastAsia"/>
                              <w:sz w:val="15"/>
                              <w:szCs w:val="15"/>
                            </w:rPr>
                          </w:pPr>
                          <w:r>
                            <w:rPr>
                              <w:rFonts w:hint="eastAsia"/>
                              <w:sz w:val="15"/>
                              <w:szCs w:val="15"/>
                            </w:rPr>
                            <w:t>信息共享</w:t>
                          </w:r>
                        </w:p>
                      </w:txbxContent>
                    </v:textbox>
                  </v:rect>
                  <v:rect id="Rectangle 159" o:spid="_x0000_s1026" o:spt="1" style="position:absolute;left:2235;top:2631;height:423;width:833;" filled="f" stroked="f" coordsize="21600,21600" o:gfxdata="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J0Uor0AAADaAAAADwAAAAAAAAABACAAAAA4AAAAZHJzL2Rvd25yZXYu&#10;eG1sUEsBAhQAFAAAAAgAh07iQDMvBZ47AAAAOQAAABAAAAAAAAAAAQAgAAAAIgEAAGRycy9zaGFw&#10;ZXhtbC54bWxQSwUGAAAAAAYABgBbAQAAzAMAAAAA&#10;">
                    <v:fill on="f" focussize="0,0"/>
                    <v:stroke on="f"/>
                    <v:imagedata o:title=""/>
                    <o:lock v:ext="edit" aspectratio="f"/>
                    <v:textbox>
                      <w:txbxContent>
                        <w:p>
                          <w:pPr>
                            <w:jc w:val="center"/>
                            <w:rPr>
                              <w:rFonts w:hint="eastAsia"/>
                              <w:sz w:val="15"/>
                              <w:szCs w:val="15"/>
                            </w:rPr>
                          </w:pPr>
                          <w:r>
                            <w:rPr>
                              <w:rFonts w:hint="eastAsia"/>
                              <w:sz w:val="15"/>
                              <w:szCs w:val="15"/>
                            </w:rPr>
                            <w:t>相悖</w:t>
                          </w:r>
                        </w:p>
                      </w:txbxContent>
                    </v:textbox>
                  </v:rect>
                  <v:roundrect id="AutoShape 160" o:spid="_x0000_s1026" o:spt="2" style="position:absolute;left:3521;top:4368;height:468;width:3492;" fillcolor="#FFFFFF" filled="t" stroked="t" coordsize="21600,21600" arcsize="0.166666666666667" o:gfxdata="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IWwr1uQAAANoAAAAPAAAAAAAAAAEAIAAAADgAAABkcnMvZG93bnJldi54bWxQ&#10;SwECFAAUAAAACACHTuJAMy8FnjsAAAA5AAAAEAAAAAAAAAABACAAAAAeAQAAZHJzL3NoYXBleG1s&#10;LnhtbFBLBQYAAAAABgAGAFsBAADIAwAAAAA=&#10;">
                    <v:fill on="t" focussize="0,0"/>
                    <v:stroke color="#000000" joinstyle="round"/>
                    <v:imagedata o:title=""/>
                    <o:lock v:ext="edit" aspectratio="f"/>
                    <v:shadow on="t" color="#808080" offset="2pt,2pt" origin="0f,0f" matrix="65536f,0f,0f,65536f"/>
                    <v:textbox>
                      <w:txbxContent>
                        <w:p>
                          <w:pPr>
                            <w:jc w:val="center"/>
                            <w:rPr>
                              <w:rFonts w:hint="eastAsia" w:ascii="宋体" w:hAnsi="宋体" w:cs="宋体"/>
                              <w:sz w:val="15"/>
                              <w:szCs w:val="15"/>
                            </w:rPr>
                          </w:pPr>
                          <w:r>
                            <w:rPr>
                              <w:rFonts w:hint="eastAsia" w:ascii="宋体" w:hAnsi="宋体" w:cs="宋体"/>
                              <w:sz w:val="15"/>
                              <w:szCs w:val="15"/>
                            </w:rPr>
                            <w:t>流域极端洪灾应急管理目标——高效</w:t>
                          </w:r>
                        </w:p>
                        <w:p/>
                      </w:txbxContent>
                    </v:textbox>
                  </v:roundrect>
                  <v:shape id="AutoShape 161" o:spid="_x0000_s1026" o:spt="33" type="#_x0000_t33" style="position:absolute;left:1890;top:2971;flip:x;height:2531;width:702;rotation:5898240f;" filled="f" stroked="t" coordsize="21600,21600" o:gfxdata="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na9a70AAADaAAAADwAAAAAAAAABACAAAAA4AAAAZHJzL2Rvd25yZXYu&#10;eG1sUEsBAhQAFAAAAAgAh07iQDMvBZ47AAAAOQAAABAAAAAAAAAAAQAgAAAAIgEAAGRycy9zaGFw&#10;ZXhtbC54bWxQSwUGAAAAAAYABgBbAQAAzAMAAAAA&#10;">
                    <v:fill on="f" focussize="0,0"/>
                    <v:stroke color="#000000" joinstyle="miter" endarrow="block"/>
                    <v:imagedata o:title=""/>
                    <o:lock v:ext="edit" aspectratio="f"/>
                  </v:shape>
                  <v:rect id="Rectangle 162" o:spid="_x0000_s1026" o:spt="1" style="position:absolute;left:900;top:4212;height:468;width:1800;" filled="f" stroked="f" coordsize="21600,21600" o:gfxdata="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D+kEL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jc w:val="center"/>
                            <w:rPr>
                              <w:rFonts w:hint="eastAsia"/>
                              <w:sz w:val="15"/>
                              <w:szCs w:val="15"/>
                            </w:rPr>
                          </w:pPr>
                          <w:r>
                            <w:rPr>
                              <w:rFonts w:hint="eastAsia"/>
                              <w:sz w:val="15"/>
                              <w:szCs w:val="15"/>
                            </w:rPr>
                            <w:t>难以满足</w:t>
                          </w:r>
                        </w:p>
                      </w:txbxContent>
                    </v:textbox>
                  </v:rect>
                  <v:shape id="AutoShape 163" o:spid="_x0000_s1026" o:spt="69" type="#_x0000_t69" style="position:absolute;left:2063;top:2964;height:156;width:1260;" filled="f" stroked="t" coordsize="21600,21600" o:gfxdata="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TOifroAAADbAAAADwAAAAAAAAABACAAAAA4AAAAZHJzL2Rvd25yZXYueG1s&#10;UEsBAhQAFAAAAAgAh07iQDMvBZ47AAAAOQAAABAAAAAAAAAAAQAgAAAAHwEAAGRycy9zaGFwZXht&#10;bC54bWxQSwUGAAAAAAYABgBbAQAAyQMAAAAA&#10;" adj="4319,5400">
                    <v:fill on="f" focussize="0,0"/>
                    <v:stroke color="#000000" joinstyle="miter" dashstyle="dash"/>
                    <v:imagedata o:title=""/>
                    <o:lock v:ext="edit" aspectratio="f"/>
                  </v:shape>
                  <v:line id="Line 164" o:spid="_x0000_s1026" o:spt="20" style="position:absolute;left:2517;top:2913;flip:x;height:282;width:278;" filled="f" stroked="t" coordsize="21600,21600" o:gfxdata="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azVbroAAADbAAAADwAAAAAAAAABACAAAAA4AAAAZHJzL2Rvd25yZXYueG1s&#10;UEsBAhQAFAAAAAgAh07iQDMvBZ47AAAAOQAAABAAAAAAAAAAAQAgAAAAHwEAAGRycy9zaGFwZXht&#10;bC54bWxQSwUGAAAAAAYABgBbAQAAyQMAAAAA&#10;">
                    <v:fill on="f" focussize="0,0"/>
                    <v:stroke color="#000000" joinstyle="round"/>
                    <v:imagedata o:title=""/>
                    <o:lock v:ext="edit" aspectratio="f"/>
                  </v:line>
                  <v:line id="Line 165" o:spid="_x0000_s1026" o:spt="20" style="position:absolute;left:2550;top:2923;height:270;width:268;" filled="f" stroked="t" coordsize="21600,21600" o:gfxdata="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X7k7fvAAAANsAAAAPAAAAAAAAAAEAIAAAADgAAABkcnMvZG93bnJldi54&#10;bWxQSwECFAAUAAAACACHTuJAMy8FnjsAAAA5AAAAEAAAAAAAAAABACAAAAAhAQAAZHJzL3NoYXBl&#10;eG1sLnhtbFBLBQYAAAAABgAGAFsBAADLAwAAAAA=&#10;">
                    <v:fill on="f" focussize="0,0"/>
                    <v:stroke color="#000000" joinstyle="round"/>
                    <v:imagedata o:title=""/>
                    <o:lock v:ext="edit" aspectratio="f"/>
                  </v:line>
                  <v:roundrect id="AutoShape 166" o:spid="_x0000_s1026" o:spt="2" style="position:absolute;left:3773;top:1188;height:468;width:2340;" fillcolor="#FFFFFF" filled="t" stroked="t" coordsize="21600,21600" arcsize="0.166666666666667" o:gfxdata="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bag+5boAAADbAAAADwAAAAAAAAABACAAAAA4AAAAZHJzL2Rvd25yZXYueG1s&#10;UEsBAhQAFAAAAAgAh07iQDMvBZ47AAAAOQAAABAAAAAAAAAAAQAgAAAAHwEAAGRycy9zaGFwZXht&#10;bC54bWxQSwUGAAAAAAYABgBbAQAAyQMAAAAA&#10;">
                    <v:fill on="t" focussize="0,0"/>
                    <v:stroke color="#000000" joinstyle="round"/>
                    <v:imagedata o:title=""/>
                    <o:lock v:ext="edit" aspectratio="f"/>
                    <v:shadow on="t" color="#808080" offset="2pt,2pt" origin="0f,0f" matrix="65536f,0f,0f,65536f"/>
                    <v:textbox>
                      <w:txbxContent>
                        <w:p>
                          <w:pPr>
                            <w:jc w:val="center"/>
                            <w:rPr>
                              <w:sz w:val="15"/>
                              <w:szCs w:val="15"/>
                            </w:rPr>
                          </w:pPr>
                          <w:r>
                            <w:rPr>
                              <w:rFonts w:hint="eastAsia"/>
                              <w:sz w:val="15"/>
                              <w:szCs w:val="15"/>
                            </w:rPr>
                            <w:t>“科层-合作”制</w:t>
                          </w:r>
                        </w:p>
                      </w:txbxContent>
                    </v:textbox>
                  </v:roundrect>
                  <v:shape id="AutoShape 167" o:spid="_x0000_s1026" o:spt="70" type="#_x0000_t70" style="position:absolute;left:4794;top:1716;height:624;width:179;" filled="f" stroked="t" coordsize="21600,21600" o:gfxdata="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&#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VvbJ7uQAAANsAAAAPAAAAAAAAAAEAIAAAADgAAABkcnMvZG93bnJldi54bWxQ&#10;SwECFAAUAAAACACHTuJAMy8FnjsAAAA5AAAAEAAAAAAAAAABACAAAAAeAQAAZHJzL3NoYXBleG1s&#10;LnhtbFBLBQYAAAAABgAGAFsBAADIAwAAAAA=&#10;" adj="5400,4319">
                    <v:fill on="f" focussize="0,0"/>
                    <v:stroke color="#000000" joinstyle="miter" dashstyle="dash"/>
                    <v:imagedata o:title=""/>
                    <o:lock v:ext="edit" aspectratio="f"/>
                    <v:textbox style="layout-flow:vertical-ideographic;"/>
                  </v:shape>
                  <v:rect id="Rectangle 168" o:spid="_x0000_s1026" o:spt="1" style="position:absolute;left:4793;top:1716;height:468;width:900;" filled="f" stroked="f" coordsize="21600,21600" o:gfxdata="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wmpn/uQAAANsAAAAPAAAAAAAAAAEAIAAAADgAAABkcnMvZG93bnJldi54bWxQ&#10;SwECFAAUAAAACACHTuJAMy8FnjsAAAA5AAAAEAAAAAAAAAABACAAAAAeAQAAZHJzL3NoYXBleG1s&#10;LnhtbFBLBQYAAAAABgAGAFsBAADIAwAAAAA=&#10;">
                    <v:fill on="f" focussize="0,0"/>
                    <v:stroke on="f"/>
                    <v:imagedata o:title=""/>
                    <o:lock v:ext="edit" aspectratio="f"/>
                    <v:textbox>
                      <w:txbxContent>
                        <w:p>
                          <w:pPr>
                            <w:jc w:val="center"/>
                            <w:rPr>
                              <w:rFonts w:hint="eastAsia"/>
                              <w:sz w:val="15"/>
                              <w:szCs w:val="15"/>
                            </w:rPr>
                          </w:pPr>
                          <w:r>
                            <w:rPr>
                              <w:rFonts w:hint="eastAsia"/>
                              <w:sz w:val="15"/>
                              <w:szCs w:val="15"/>
                            </w:rPr>
                            <w:t>相符</w:t>
                          </w:r>
                        </w:p>
                      </w:txbxContent>
                    </v:textbox>
                  </v:rect>
                  <v:shape id="AutoShape 169" o:spid="_x0000_s1026" o:spt="68" type="#_x0000_t68" style="position:absolute;left:4493;top:1716;height:624;width:180;" fillcolor="#FFFFFF" filled="t" stroked="t" coordsize="21600,21600" o:gfxdata="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5x1JwboAAADbAAAADwAAAAAAAAABACAAAAA4AAAAZHJzL2Rvd25yZXYueG1s&#10;UEsBAhQAFAAAAAgAh07iQDMvBZ47AAAAOQAAABAAAAAAAAAAAQAgAAAAHwEAAGRycy9zaGFwZXht&#10;bC54bWxQSwUGAAAAAAYABgBbAQAAyQMAAAAA&#10;" adj="5399,5400">
                    <v:fill on="t" focussize="0,0"/>
                    <v:stroke color="#000000" joinstyle="miter"/>
                    <v:imagedata o:title=""/>
                    <o:lock v:ext="edit" aspectratio="f"/>
                    <v:textbox style="layout-flow:vertical-ideographic;"/>
                  </v:shape>
                  <v:rect id="Rectangle 170" o:spid="_x0000_s1026" o:spt="1" style="position:absolute;left:3773;top:1716;height:468;width:900;" filled="f" stroked="f" coordsize="21600,21600" o:gfxdata="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7kmoFr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jc w:val="center"/>
                            <w:rPr>
                              <w:rFonts w:hint="eastAsia"/>
                              <w:sz w:val="15"/>
                              <w:szCs w:val="15"/>
                            </w:rPr>
                          </w:pPr>
                          <w:r>
                            <w:rPr>
                              <w:rFonts w:hint="eastAsia"/>
                              <w:sz w:val="15"/>
                              <w:szCs w:val="15"/>
                            </w:rPr>
                            <w:t>弥补</w:t>
                          </w:r>
                        </w:p>
                      </w:txbxContent>
                    </v:textbox>
                  </v:rect>
                  <v:line id="Line 171" o:spid="_x0000_s1026" o:spt="20" style="position:absolute;left:5753;top:1716;height:2652;width:1;" filled="f" stroked="t" coordsize="21600,21600" o:gfxdata="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NVNr0AAADb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rect id="Rectangle 172" o:spid="_x0000_s1026" o:spt="1" style="position:absolute;left:5573;top:2652;height:468;width:900;" filled="f" stroked="f" coordsize="21600,21600" o:gfxdata="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5Tbq27AAAA2wAAAA8AAAAAAAAAAQAgAAAAOAAAAGRycy9kb3ducmV2Lnht&#10;bFBLAQIUABQAAAAIAIdO4kAzLwWeOwAAADkAAAAQAAAAAAAAAAEAIAAAACABAABkcnMvc2hhcGV4&#10;bWwueG1sUEsFBgAAAAAGAAYAWwEAAMoDAAAAAA==&#10;">
                    <v:fill on="f" focussize="0,0"/>
                    <v:stroke on="f"/>
                    <v:imagedata o:title=""/>
                    <o:lock v:ext="edit" aspectratio="f"/>
                    <v:textbox>
                      <w:txbxContent>
                        <w:p>
                          <w:pPr>
                            <w:jc w:val="center"/>
                            <w:rPr>
                              <w:rFonts w:hint="eastAsia"/>
                              <w:sz w:val="15"/>
                              <w:szCs w:val="15"/>
                            </w:rPr>
                          </w:pPr>
                          <w:r>
                            <w:rPr>
                              <w:rFonts w:hint="eastAsia"/>
                              <w:sz w:val="15"/>
                              <w:szCs w:val="15"/>
                            </w:rPr>
                            <w:t>满足</w:t>
                          </w:r>
                        </w:p>
                      </w:txbxContent>
                    </v:textbox>
                  </v:rect>
                  <v:rect id="Rectangle 173" o:spid="_x0000_s1026" o:spt="1" style="position:absolute;left:3548;top:579;height:468;width:1440;" filled="f" stroked="f" coordsize="21600,21600" o:gfxdata="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Efyza+AAAA2wAAAA8AAAAAAAAAAQAgAAAAOAAAAGRycy9kb3ducmV2&#10;LnhtbFBLAQIUABQAAAAIAIdO4kAzLwWeOwAAADkAAAAQAAAAAAAAAAEAIAAAACMBAABkcnMvc2hh&#10;cGV4bWwueG1sUEsFBgAAAAAGAAYAWwEAAM0DAAAAAA==&#10;">
                    <v:fill on="f" focussize="0,0"/>
                    <v:stroke on="f"/>
                    <v:imagedata o:title=""/>
                    <o:lock v:ext="edit" aspectratio="f"/>
                    <v:textbox>
                      <w:txbxContent>
                        <w:p>
                          <w:pPr>
                            <w:jc w:val="center"/>
                            <w:rPr>
                              <w:rFonts w:hint="eastAsia"/>
                              <w:sz w:val="15"/>
                              <w:szCs w:val="15"/>
                            </w:rPr>
                          </w:pPr>
                          <w:r>
                            <w:rPr>
                              <w:rFonts w:hint="eastAsia"/>
                              <w:sz w:val="15"/>
                              <w:szCs w:val="15"/>
                            </w:rPr>
                            <w:t>管理体制改进</w:t>
                          </w:r>
                        </w:p>
                      </w:txbxContent>
                    </v:textbox>
                  </v:rect>
                  <v:shape id="AutoShape 174" o:spid="_x0000_s1026" o:spt="100" style="position:absolute;left:1433;top:468;height:156;width:540;" fillcolor="#FFFFFF" filled="t" stroked="t" coordsize="21600,21600" o:gfxdata="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nr+nL0AAADbAAAADwAAAAAAAAABACAAAAA4AAAAZHJzL2Rvd25yZXYu&#10;eG1sUEsBAhQAFAAAAAgAh07iQDMvBZ47AAAAOQAAABAAAAAAAAAAAQAgAAAAIgEAAGRycy9zaGFw&#10;ZXhtbC54bWxQSwUGAAAAAAYABgBbAQAAzAM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v:shape id="AutoShape 175" o:spid="_x0000_s1026" o:spt="100" style="position:absolute;left:2381;top:2190;height:180;width:624;rotation:-5898240f;" fillcolor="#FFFFFF" filled="t" stroked="t" coordsize="21600,21600" o:gfxdata="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R/AjrvAAAANsAAAAPAAAAAAAAAAEAIAAAADgAAABkcnMvZG93bnJldi54&#10;bWxQSwECFAAUAAAACACHTuJAMy8FnjsAAAA5AAAAEAAAAAAAAAABACAAAAAhAQAAZHJzL3NoYXBl&#10;eG1sLnhtbFBLBQYAAAAABgAGAFsBAADLAw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v:line id="Line 176" o:spid="_x0000_s1026" o:spt="20" style="position:absolute;left:6473;top:238;flip:x;height:4130;width:4;" filled="f" stroked="t" coordsize="21600,21600" o:gfxdata="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iJRbJ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Line 177" o:spid="_x0000_s1026" o:spt="20" style="position:absolute;left:3356;top:231;height:1;width:3117;" filled="f" stroked="t" coordsize="21600,21600" o:gfxdata="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e5jb0AAADb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Line 178" o:spid="_x0000_s1026" o:spt="20" style="position:absolute;left:4313;top:3744;flip:y;height:624;width:1;" filled="f" stroked="t" coordsize="21600,21600" o:gfxdata="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9uy0l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Line 179" o:spid="_x0000_s1026" o:spt="20" style="position:absolute;left:3581;top:553;height:851;width:13;" filled="f" stroked="t" coordsize="21600,21600" o:gfxdata="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rmCYb0AAADb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Line 180" o:spid="_x0000_s1026" o:spt="20" style="position:absolute;left:3413;top:1404;height:0;width:180;" filled="f" stroked="t" coordsize="21600,21600" o:gfxdata="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FyYWE7oAAADbAAAADwAAAAAAAAABACAAAAA4AAAAZHJzL2Rvd25yZXYueG1s&#10;UEsBAhQAFAAAAAgAh07iQDMvBZ47AAAAOQAAABAAAAAAAAAAAQAgAAAAHwEAAGRycy9zaGFwZXht&#10;bC54bWxQSwUGAAAAAAYABgBbAQAAyQMAAAAA&#10;">
                    <v:fill on="f" focussize="0,0"/>
                    <v:stroke color="#000000" joinstyle="round"/>
                    <v:imagedata o:title=""/>
                    <o:lock v:ext="edit" aspectratio="f"/>
                  </v:line>
                  <v:line id="Line 181" o:spid="_x0000_s1026" o:spt="20" style="position:absolute;left:3593;top:936;height:1;width:1080;" filled="f" stroked="t" coordsize="21600,21600" o:gfxdata="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GqziL0AAADb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Line 182" o:spid="_x0000_s1026" o:spt="20" style="position:absolute;left:4673;top:936;height:312;width:1;" filled="f" stroked="t" coordsize="21600,21600" o:gfxdata="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IcoMu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line>
                  <v:rect id="Rectangle 183" o:spid="_x0000_s1026" o:spt="1" style="position:absolute;left:240;top:936;height:750;width:833;" filled="f" stroked="f" coordsize="21600,21600" o:gfxdata="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MZd67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jc w:val="center"/>
                            <w:rPr>
                              <w:rFonts w:hint="eastAsia"/>
                              <w:sz w:val="15"/>
                              <w:szCs w:val="15"/>
                            </w:rPr>
                          </w:pPr>
                          <w:r>
                            <w:rPr>
                              <w:rFonts w:hint="eastAsia"/>
                              <w:sz w:val="15"/>
                              <w:szCs w:val="15"/>
                            </w:rPr>
                            <w:t>高效</w:t>
                          </w:r>
                        </w:p>
                        <w:p>
                          <w:pPr>
                            <w:jc w:val="center"/>
                            <w:rPr>
                              <w:rFonts w:hint="eastAsia"/>
                              <w:sz w:val="18"/>
                              <w:szCs w:val="18"/>
                            </w:rPr>
                          </w:pPr>
                          <w:r>
                            <w:rPr>
                              <w:rFonts w:hint="eastAsia"/>
                              <w:sz w:val="15"/>
                              <w:szCs w:val="15"/>
                            </w:rPr>
                            <w:t>适用</w:t>
                          </w:r>
                        </w:p>
                      </w:txbxContent>
                    </v:textbox>
                  </v:rect>
                  <v:rect id="Rectangle 184" o:spid="_x0000_s1026" o:spt="1" style="position:absolute;left:6353;top:1872;height:780;width:720;" filled="f" stroked="f" coordsize="21600,21600" o:gfxdata="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BTDnL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jc w:val="center"/>
                            <w:rPr>
                              <w:rFonts w:hint="eastAsia"/>
                              <w:sz w:val="18"/>
                              <w:szCs w:val="18"/>
                            </w:rPr>
                          </w:pPr>
                          <w:r>
                            <w:rPr>
                              <w:rFonts w:hint="eastAsia"/>
                              <w:sz w:val="15"/>
                              <w:szCs w:val="15"/>
                            </w:rPr>
                            <w:t>目标需求</w:t>
                          </w:r>
                        </w:p>
                      </w:txbxContent>
                    </v:textbox>
                  </v:rect>
                  <v:group id="Group 185" o:spid="_x0000_s1026" o:spt="203" style="position:absolute;left:173;top:312;height:468;width:1380;" coordsize="1380,468" o:gfxdata="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KnMbu29AAAA2wAAAA8AAAAAAAAAAQAg&#10;AAAAOAAAAGRycy9kb3ducmV2LnhtbFBLAQIUABQAAAAIAIdO4kAzLwWeOwAAADkAAAAVAAAAAAAA&#10;AAEAIAAAACIBAABkcnMvZ3JvdXBzaGFwZXhtbC54bWxQSwUGAAAAAAYABgBgAQAA3wMAAAAA&#10;">
                    <o:lock v:ext="edit" aspectratio="f"/>
                    <v:shape id="Oval 186" o:spid="_x0000_s1026" o:spt="3" type="#_x0000_t3" style="position:absolute;left:0;top:0;height:468;width:1260;" fillcolor="#969696" filled="t" stroked="t" coordsize="21600,21600" o:gfxdata="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rxyybrcAAADbAAAADwAAAAAAAAABACAAAAA4AAAAZHJzL2Rvd25yZXYueG1sUEsB&#10;AhQAFAAAAAgAh07iQDMvBZ47AAAAOQAAABAAAAAAAAAAAQAgAAAAHAEAAGRycy9zaGFwZXhtbC54&#10;bWxQSwUGAAAAAAYABgBbAQAAxgMAAAAA&#10;">
                      <v:fill on="t" focussize="0,0"/>
                      <v:stroke color="#000000" joinstyle="round"/>
                      <v:imagedata o:title=""/>
                      <o:lock v:ext="edit" aspectratio="f"/>
                    </v:shape>
                    <v:rect id="Rectangle 187" o:spid="_x0000_s1026" o:spt="1" style="position:absolute;left:120;top:0;height:468;width:1260;" filled="f" stroked="f" coordsize="21600,21600" o:gfxdata="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Sx/nO+AAAA2wAAAA8AAAAAAAAAAQAgAAAAOAAAAGRycy9kb3ducmV2&#10;LnhtbFBLAQIUABQAAAAIAIdO4kAzLwWeOwAAADkAAAAQAAAAAAAAAAEAIAAAACMBAABkcnMvc2hh&#10;cGV4bWwueG1sUEsFBgAAAAAGAAYAWwEAAM0DAAAAAA==&#10;">
                      <v:fill on="f" focussize="0,0"/>
                      <v:stroke on="f"/>
                      <v:imagedata o:title=""/>
                      <o:lock v:ext="edit" aspectratio="f"/>
                      <v:textbox>
                        <w:txbxContent>
                          <w:p>
                            <w:pPr>
                              <w:rPr>
                                <w:rFonts w:hint="eastAsia" w:ascii="宋体" w:hAnsi="宋体" w:cs="宋体"/>
                                <w:sz w:val="15"/>
                                <w:szCs w:val="15"/>
                              </w:rPr>
                            </w:pPr>
                            <w:r>
                              <w:rPr>
                                <w:rFonts w:hint="eastAsia" w:ascii="宋体" w:hAnsi="宋体" w:cs="宋体"/>
                                <w:sz w:val="15"/>
                                <w:szCs w:val="15"/>
                              </w:rPr>
                              <w:t>常态环境</w:t>
                            </w:r>
                          </w:p>
                        </w:txbxContent>
                      </v:textbox>
                    </v:rect>
                  </v:group>
                  <v:group id="Group 188" o:spid="_x0000_s1026" o:spt="203" style="position:absolute;left:1973;top:0;height:936;width:1620;" coordsize="1620,780" o:gfxdata="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CiBZOi9AAAA2wAAAA8AAAAAAAAAAQAg&#10;AAAAOAAAAGRycy9kb3ducmV2LnhtbFBLAQIUABQAAAAIAIdO4kAzLwWeOwAAADkAAAAVAAAAAAAA&#10;AAEAIAAAACIBAABkcnMvZ3JvdXBzaGFwZXhtbC54bWxQSwUGAAAAAAYABgBgAQAA3wMAAAAA&#10;">
                    <o:lock v:ext="edit" aspectratio="f"/>
                    <v:shape id="AutoShape 189" o:spid="_x0000_s1026" o:spt="71" type="#_x0000_t71" style="position:absolute;left:0;top:0;height:780;width:1440;" fillcolor="#969696" filled="t" stroked="t" coordsize="21600,21600" o:gfxdata="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nOCK2vwAAANsAAAAPAAAAAAAAAAEAIAAAADgAAABkcnMvZG93bnJl&#10;di54bWxQSwECFAAUAAAACACHTuJAMy8FnjsAAAA5AAAAEAAAAAAAAAABACAAAAAkAQAAZHJzL3No&#10;YXBleG1sLnhtbFBLBQYAAAAABgAGAFsBAADOAwAAAAA=&#10;">
                      <v:fill on="t" focussize="0,0"/>
                      <v:stroke color="#000000" joinstyle="miter"/>
                      <v:imagedata o:title=""/>
                      <o:lock v:ext="edit" aspectratio="f"/>
                    </v:shape>
                    <v:line id="Line 190" o:spid="_x0000_s1026" o:spt="20" style="position:absolute;left:1440;top:468;height:0;width:180;" filled="f" stroked="t" coordsize="21600,21600" o:gfxdata="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NgFLy+AAAA2wAAAA8AAAAAAAAAAQAgAAAAOAAAAGRycy9kb3ducmV2&#10;LnhtbFBLAQIUABQAAAAIAIdO4kAzLwWeOwAAADkAAAAQAAAAAAAAAAEAIAAAACMBAABkcnMvc2hh&#10;cGV4bWwueG1sUEsFBgAAAAAGAAYAWwEAAM0DAAAAAA==&#10;">
                      <v:fill on="f" focussize="0,0"/>
                      <v:stroke color="#000000" joinstyle="round"/>
                      <v:imagedata o:title=""/>
                      <o:lock v:ext="edit" aspectratio="f"/>
                    </v:line>
                    <v:rect id="Rectangle 191" o:spid="_x0000_s1026" o:spt="1" style="position:absolute;left:180;top:156;height:468;width:1080;" filled="f" stroked="f" coordsize="21600,21600" o:gfxdata="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X89Ha7AAAA2wAAAA8AAAAAAAAAAQAgAAAAOAAAAGRycy9kb3ducmV2Lnht&#10;bFBLAQIUABQAAAAIAIdO4kAzLwWeOwAAADkAAAAQAAAAAAAAAAEAIAAAACABAABkcnMvc2hhcGV4&#10;bWwueG1sUEsFBgAAAAAGAAYAWwEAAMoDAAAAAA==&#10;">
                      <v:fill on="f" focussize="0,0"/>
                      <v:stroke on="f"/>
                      <v:imagedata o:title=""/>
                      <o:lock v:ext="edit" aspectratio="f"/>
                      <v:textbox>
                        <w:txbxContent>
                          <w:p>
                            <w:pPr>
                              <w:rPr>
                                <w:rFonts w:hint="eastAsia" w:ascii="宋体" w:hAnsi="宋体" w:cs="宋体"/>
                                <w:sz w:val="15"/>
                                <w:szCs w:val="15"/>
                              </w:rPr>
                            </w:pPr>
                            <w:r>
                              <w:rPr>
                                <w:rFonts w:hint="eastAsia" w:ascii="宋体" w:hAnsi="宋体" w:cs="宋体"/>
                                <w:sz w:val="15"/>
                                <w:szCs w:val="15"/>
                              </w:rPr>
                              <w:t>应急环境</w:t>
                            </w:r>
                          </w:p>
                        </w:txbxContent>
                      </v:textbox>
                    </v:rect>
                  </v:group>
                  <v:group id="Group 192" o:spid="_x0000_s1026" o:spt="203" style="position:absolute;left:1973;top:1092;height:780;width:1440;" coordsize="1440,780" o:gfxdata="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fiOF5L8AAADbAAAADwAAAAAAAAAB&#10;ACAAAAA4AAAAZHJzL2Rvd25yZXYueG1sUEsBAhQAFAAAAAgAh07iQDMvBZ47AAAAOQAAABUAAAAA&#10;AAAAAQAgAAAAJAEAAGRycy9ncm91cHNoYXBleG1sLnhtbFBLBQYAAAAABgAGAGABAADhAwAAAAA=&#10;">
                    <o:lock v:ext="edit" aspectratio="f"/>
                    <v:shape id="AutoShape 193" o:spid="_x0000_s1026" o:spt="71" type="#_x0000_t71" style="position:absolute;left:0;top:0;height:780;width:1440;" fillcolor="#969696" filled="t" stroked="t" coordsize="21600,21600" o:gfxdata="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5tsJL0AAADbAAAADwAAAAAAAAABACAAAAA4AAAAZHJzL2Rvd25yZXYu&#10;eG1sUEsBAhQAFAAAAAgAh07iQDMvBZ47AAAAOQAAABAAAAAAAAAAAQAgAAAAIgEAAGRycy9zaGFw&#10;ZXhtbC54bWxQSwUGAAAAAAYABgBbAQAAzAMAAAAA&#10;">
                      <v:fill on="t" focussize="0,0"/>
                      <v:stroke color="#000000" joinstyle="miter"/>
                      <v:imagedata o:title=""/>
                      <o:lock v:ext="edit" aspectratio="f"/>
                    </v:shape>
                    <v:rect id="Rectangle 194" o:spid="_x0000_s1026" o:spt="1" style="position:absolute;left:180;top:156;height:468;width:1080;" filled="f" stroked="f" coordsize="21600,21600" o:gfxdata="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MAulr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rPr>
                                <w:rFonts w:hint="eastAsia" w:ascii="宋体" w:hAnsi="宋体" w:cs="宋体"/>
                                <w:sz w:val="15"/>
                                <w:szCs w:val="15"/>
                              </w:rPr>
                            </w:pPr>
                            <w:r>
                              <w:rPr>
                                <w:rFonts w:hint="eastAsia" w:ascii="宋体" w:hAnsi="宋体" w:cs="宋体"/>
                                <w:sz w:val="15"/>
                                <w:szCs w:val="15"/>
                              </w:rPr>
                              <w:t>管理混沌</w:t>
                            </w:r>
                          </w:p>
                        </w:txbxContent>
                      </v:textbox>
                    </v:rect>
                  </v:group>
                  <v:line id="Line 195" o:spid="_x0000_s1026" o:spt="20" style="position:absolute;left:893;top:780;flip:y;height:1092;width:0;" filled="f" stroked="t" coordsize="21600,21600" o:gfxdata="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CSV0QLoAAADbAAAADwAAAAAAAAABACAAAAA4AAAAZHJzL2Rvd25yZXYueG1s&#10;UEsBAhQAFAAAAAgAh07iQDMvBZ47AAAAOQAAABAAAAAAAAAAAQAgAAAAHwEAAGRycy9zaGFwZXht&#10;bC54bWxQSwUGAAAAAAYABgBbAQAAyQMAAAAA&#10;">
                    <v:fill on="f" focussize="0,0"/>
                    <v:stroke color="#000000" joinstyle="round" dashstyle="dash" endarrow="block"/>
                    <v:imagedata o:title=""/>
                    <o:lock v:ext="edit" aspectratio="f"/>
                  </v:line>
                  <v:line id="Line 196" o:spid="_x0000_s1026" o:spt="20" style="position:absolute;left:3353;top:397;flip:x;height:6;width:1773;" filled="f" stroked="t" coordsize="21600,21600" o:gfxdata="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GzOw0tgAAANsAAAAPAAAAAAAAAAEAIAAAADgAAABkcnMvZG93bnJldi54bWxQSwEC&#10;FAAUAAAACACHTuJAMy8FnjsAAAA5AAAAEAAAAAAAAAABACAAAAAbAQAAZHJzL3NoYXBleG1sLnht&#10;bFBLBQYAAAAABgAGAFsBAADFAwAAAAA=&#10;">
                    <v:fill on="f" focussize="0,0"/>
                    <v:stroke color="#000000" joinstyle="round" dashstyle="dash" endarrow="block"/>
                    <v:imagedata o:title=""/>
                    <o:lock v:ext="edit" aspectratio="f"/>
                  </v:line>
                  <v:line id="Line 197" o:spid="_x0000_s1026" o:spt="20" style="position:absolute;left:5138;top:402;height:780;width:1;" filled="f" stroked="t" coordsize="21600,21600" o:gfxdata="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dJtxG+AAAA2wAAAA8AAAAAAAAAAQAgAAAAOAAAAGRycy9kb3ducmV2&#10;LnhtbFBLAQIUABQAAAAIAIdO4kAzLwWeOwAAADkAAAAQAAAAAAAAAAEAIAAAACMBAABkcnMvc2hh&#10;cGV4bWwueG1sUEsFBgAAAAAGAAYAWwEAAM0DAAAAAA==&#10;">
                    <v:fill on="f" focussize="0,0"/>
                    <v:stroke color="#000000" joinstyle="round" dashstyle="dash"/>
                    <v:imagedata o:title=""/>
                    <o:lock v:ext="edit" aspectratio="f"/>
                  </v:line>
                  <v:rect id="Rectangle 198" o:spid="_x0000_s1026" o:spt="1" style="position:absolute;left:4943;top:534;height:423;width:833;" filled="f" stroked="f" coordsize="21600,21600" o:gfxdata="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ym24r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jc w:val="center"/>
                            <w:rPr>
                              <w:rFonts w:hint="eastAsia"/>
                              <w:sz w:val="15"/>
                              <w:szCs w:val="15"/>
                            </w:rPr>
                          </w:pPr>
                          <w:r>
                            <w:rPr>
                              <w:rFonts w:hint="eastAsia"/>
                              <w:sz w:val="15"/>
                              <w:szCs w:val="15"/>
                            </w:rPr>
                            <w:t>适用</w:t>
                          </w:r>
                        </w:p>
                      </w:txbxContent>
                    </v:textbox>
                  </v:rect>
                </v:group>
                <w10:wrap type="none"/>
                <w10:anchorlock/>
              </v:group>
            </w:pict>
          </mc:Fallback>
        </mc:AlternateContent>
      </w:r>
    </w:p>
    <w:p>
      <w:pPr>
        <w:autoSpaceDE w:val="0"/>
        <w:autoSpaceDN w:val="0"/>
        <w:adjustRightInd w:val="0"/>
        <w:spacing w:line="420" w:lineRule="exact"/>
        <w:ind w:firstLine="360" w:firstLineChars="200"/>
        <w:jc w:val="center"/>
        <w:outlineLvl w:val="0"/>
        <w:rPr>
          <w:rFonts w:hint="eastAsia" w:ascii="黑体" w:hAnsi="黑体" w:eastAsia="黑体" w:cs="黑体"/>
          <w:b/>
          <w:bCs/>
          <w:sz w:val="18"/>
          <w:szCs w:val="18"/>
        </w:rPr>
      </w:pPr>
      <w:bookmarkStart w:id="16" w:name="OLE_LINK31"/>
      <w:r>
        <w:rPr>
          <w:rFonts w:hint="eastAsia" w:ascii="黑体" w:hAnsi="黑体" w:eastAsia="黑体" w:cs="黑体"/>
          <w:b/>
          <w:bCs/>
          <w:sz w:val="18"/>
          <w:szCs w:val="18"/>
        </w:rPr>
        <w:t>图2  “科层</w:t>
      </w:r>
      <w:r>
        <w:rPr>
          <w:rFonts w:hint="eastAsia" w:ascii="黑体" w:hAnsi="黑体" w:eastAsia="黑体" w:cs="黑体"/>
          <w:b/>
          <w:sz w:val="18"/>
          <w:szCs w:val="18"/>
        </w:rPr>
        <w:t>-</w:t>
      </w:r>
      <w:r>
        <w:rPr>
          <w:rFonts w:hint="eastAsia" w:ascii="黑体" w:hAnsi="黑体" w:eastAsia="黑体" w:cs="黑体"/>
          <w:b/>
          <w:bCs/>
          <w:sz w:val="18"/>
          <w:szCs w:val="18"/>
        </w:rPr>
        <w:t>合作”的形成机</w:t>
      </w:r>
      <w:bookmarkEnd w:id="16"/>
      <w:r>
        <w:rPr>
          <w:rFonts w:hint="eastAsia" w:ascii="黑体" w:hAnsi="黑体" w:eastAsia="黑体" w:cs="黑体"/>
          <w:b/>
          <w:bCs/>
          <w:sz w:val="18"/>
          <w:szCs w:val="18"/>
        </w:rPr>
        <w:t>制</w:t>
      </w:r>
    </w:p>
    <w:p>
      <w:pPr>
        <w:spacing w:line="400" w:lineRule="exact"/>
        <w:jc w:val="center"/>
        <w:rPr>
          <w:rFonts w:hint="eastAsia" w:ascii="楷体_GB2312" w:eastAsia="楷体_GB2312"/>
          <w:color w:val="FF0000"/>
          <w:szCs w:val="24"/>
        </w:rPr>
      </w:pPr>
      <w:r>
        <w:rPr>
          <w:rFonts w:hint="eastAsia" w:ascii="楷体_GB2312" w:eastAsia="楷体_GB2312"/>
          <w:color w:val="FF0000"/>
          <w:szCs w:val="24"/>
        </w:rPr>
        <w:t>（图中文字为宋体6号；标题字体为 黑体小5号，加粗居中）</w:t>
      </w:r>
    </w:p>
    <w:p>
      <w:pPr>
        <w:spacing w:line="360" w:lineRule="auto"/>
        <w:jc w:val="center"/>
        <w:rPr>
          <w:rFonts w:hint="eastAsia"/>
          <w:b/>
          <w:bCs/>
          <w:sz w:val="24"/>
          <w:szCs w:val="24"/>
        </w:rPr>
      </w:pPr>
    </w:p>
    <w:p>
      <w:pPr>
        <w:spacing w:line="460" w:lineRule="exact"/>
        <w:jc w:val="left"/>
        <w:rPr>
          <w:rFonts w:hint="eastAsia" w:ascii="黑体" w:eastAsia="黑体"/>
          <w:sz w:val="30"/>
          <w:szCs w:val="30"/>
        </w:rPr>
      </w:pPr>
      <w:bookmarkStart w:id="17" w:name="_Toc327385014"/>
    </w:p>
    <w:p>
      <w:pPr>
        <w:spacing w:line="460" w:lineRule="exact"/>
        <w:rPr>
          <w:rFonts w:hint="eastAsia" w:ascii="宋体" w:hAnsi="宋体"/>
          <w:sz w:val="18"/>
          <w:szCs w:val="18"/>
        </w:rPr>
      </w:pPr>
      <w:r>
        <w:rPr>
          <w:rFonts w:hint="eastAsia" w:ascii="黑体" w:eastAsia="黑体"/>
          <w:szCs w:val="21"/>
        </w:rPr>
        <w:t>参考文献</w:t>
      </w:r>
      <w:bookmarkEnd w:id="17"/>
      <w:r>
        <w:rPr>
          <w:rFonts w:hint="eastAsia" w:ascii="黑体" w:eastAsia="黑体"/>
          <w:szCs w:val="21"/>
        </w:rPr>
        <w:t>：</w:t>
      </w:r>
      <w:r>
        <w:rPr>
          <w:rFonts w:hint="eastAsia" w:ascii="楷体_GB2312" w:eastAsia="楷体_GB2312"/>
          <w:color w:val="0000FF"/>
          <w:szCs w:val="24"/>
        </w:rPr>
        <w:t>(黑体5号)</w:t>
      </w:r>
      <w:r>
        <w:rPr>
          <w:rFonts w:hint="eastAsia" w:ascii="宋体" w:hAnsi="宋体"/>
          <w:color w:val="FF00FF"/>
          <w:szCs w:val="21"/>
        </w:rPr>
        <w:t>（下列文献与范例文章无关）</w:t>
      </w:r>
    </w:p>
    <w:p>
      <w:pPr>
        <w:rPr>
          <w:rFonts w:hint="eastAsia" w:ascii="宋体" w:hAnsi="宋体"/>
          <w:sz w:val="18"/>
          <w:szCs w:val="18"/>
        </w:rPr>
      </w:pPr>
      <w:r>
        <w:rPr>
          <w:rFonts w:hint="eastAsia" w:ascii="宋体" w:hAnsi="宋体"/>
          <w:sz w:val="18"/>
          <w:szCs w:val="18"/>
        </w:rPr>
        <w:t xml:space="preserve">[1] 马克思,恩格斯．马克思恩格斯文集：第2卷[M]．中共中央马克思恩格斯列宁斯大林著作编译局,译．北        </w:t>
      </w:r>
    </w:p>
    <w:p>
      <w:pPr>
        <w:rPr>
          <w:rFonts w:hint="eastAsia" w:ascii="宋体" w:hAnsi="宋体"/>
          <w:sz w:val="18"/>
          <w:szCs w:val="18"/>
        </w:rPr>
      </w:pPr>
      <w:r>
        <w:rPr>
          <w:rFonts w:hint="eastAsia" w:ascii="宋体" w:hAnsi="宋体"/>
          <w:sz w:val="18"/>
          <w:szCs w:val="18"/>
        </w:rPr>
        <w:t xml:space="preserve">    京：人民出版社,2009．</w:t>
      </w:r>
    </w:p>
    <w:p>
      <w:pPr>
        <w:rPr>
          <w:rFonts w:hint="eastAsia" w:ascii="宋体" w:hAnsi="宋体"/>
          <w:sz w:val="18"/>
          <w:szCs w:val="18"/>
        </w:rPr>
      </w:pPr>
      <w:r>
        <w:rPr>
          <w:rFonts w:hint="eastAsia" w:ascii="宋体" w:hAnsi="宋体"/>
          <w:sz w:val="18"/>
          <w:szCs w:val="18"/>
        </w:rPr>
        <w:t>[2] 马克斯·韦伯．经济与社会[M]．阎克文,译．上海:上海人民出版社,2010:47．</w:t>
      </w:r>
    </w:p>
    <w:p>
      <w:pPr>
        <w:rPr>
          <w:rFonts w:hint="eastAsia" w:ascii="宋体" w:hAnsi="宋体"/>
          <w:sz w:val="18"/>
          <w:szCs w:val="18"/>
        </w:rPr>
      </w:pPr>
      <w:r>
        <w:rPr>
          <w:rFonts w:hint="eastAsia" w:ascii="宋体" w:hAnsi="宋体"/>
          <w:sz w:val="18"/>
          <w:szCs w:val="18"/>
        </w:rPr>
        <w:t xml:space="preserve">[3] 托马斯·内格尔．多元主义与一致性[M]// 马克·里拉,罗纳德·德沃金,罗伯特·西尔维斯．以赛亚·  </w:t>
      </w:r>
    </w:p>
    <w:p>
      <w:pPr>
        <w:rPr>
          <w:rFonts w:hint="eastAsia" w:ascii="宋体" w:hAnsi="宋体"/>
          <w:sz w:val="18"/>
          <w:szCs w:val="18"/>
        </w:rPr>
      </w:pPr>
      <w:r>
        <w:rPr>
          <w:rFonts w:hint="eastAsia" w:ascii="宋体" w:hAnsi="宋体"/>
          <w:sz w:val="18"/>
          <w:szCs w:val="18"/>
        </w:rPr>
        <w:t xml:space="preserve">    伯林的遗产．刘擎,殷莹.译．北京:新星出版社,2006:195．</w:t>
      </w:r>
    </w:p>
    <w:p>
      <w:pPr>
        <w:rPr>
          <w:rFonts w:hint="eastAsia" w:ascii="宋体" w:hAnsi="宋体"/>
          <w:sz w:val="18"/>
          <w:szCs w:val="18"/>
        </w:rPr>
      </w:pPr>
      <w:r>
        <w:rPr>
          <w:rFonts w:hint="eastAsia" w:ascii="宋体" w:hAnsi="宋体"/>
          <w:sz w:val="18"/>
          <w:szCs w:val="18"/>
        </w:rPr>
        <w:t>[5] RICHARD T．Essays on the Welfare State[M]．New Haven: Yale University Press,1959．</w:t>
      </w:r>
    </w:p>
    <w:p>
      <w:pPr>
        <w:rPr>
          <w:rFonts w:hint="eastAsia" w:ascii="宋体" w:hAnsi="宋体"/>
          <w:sz w:val="18"/>
          <w:szCs w:val="18"/>
        </w:rPr>
      </w:pPr>
      <w:r>
        <w:rPr>
          <w:rFonts w:hint="eastAsia" w:ascii="宋体" w:hAnsi="宋体"/>
          <w:sz w:val="18"/>
          <w:szCs w:val="18"/>
        </w:rPr>
        <w:t xml:space="preserve">[6] 郭剑平．从汶川地震看我国自然灾害救助体系的健全[J]．河海大学学报:哲学社会科学版,2009,11(1):        </w:t>
      </w:r>
    </w:p>
    <w:p>
      <w:pPr>
        <w:rPr>
          <w:rFonts w:hint="eastAsia" w:ascii="宋体" w:hAnsi="宋体"/>
          <w:szCs w:val="21"/>
        </w:rPr>
      </w:pPr>
      <w:r>
        <w:rPr>
          <w:rFonts w:hint="eastAsia" w:ascii="宋体" w:hAnsi="宋体"/>
          <w:sz w:val="18"/>
          <w:szCs w:val="18"/>
        </w:rPr>
        <w:t xml:space="preserve">    29-31．</w:t>
      </w:r>
    </w:p>
    <w:p>
      <w:pPr>
        <w:rPr>
          <w:rFonts w:hint="eastAsia" w:ascii="宋体" w:hAnsi="宋体"/>
          <w:sz w:val="18"/>
          <w:szCs w:val="18"/>
        </w:rPr>
      </w:pPr>
      <w:r>
        <w:rPr>
          <w:rFonts w:hint="eastAsia" w:ascii="宋体" w:hAnsi="宋体"/>
          <w:sz w:val="18"/>
          <w:szCs w:val="18"/>
        </w:rPr>
        <w:t xml:space="preserve">[7] JARGER M M．United But Divided: Welfare Regimes and the Level and Variance in Public Support      </w:t>
      </w:r>
    </w:p>
    <w:p>
      <w:pPr>
        <w:rPr>
          <w:rFonts w:hint="eastAsia" w:ascii="宋体" w:hAnsi="宋体"/>
          <w:sz w:val="18"/>
          <w:szCs w:val="18"/>
        </w:rPr>
      </w:pPr>
      <w:r>
        <w:rPr>
          <w:rFonts w:hint="eastAsia" w:ascii="宋体" w:hAnsi="宋体"/>
          <w:sz w:val="18"/>
          <w:szCs w:val="18"/>
        </w:rPr>
        <w:t xml:space="preserve">    for Redistribution[J]．European sociological review,2009,(6):723-737．</w:t>
      </w:r>
    </w:p>
    <w:p>
      <w:pPr>
        <w:rPr>
          <w:rFonts w:hint="eastAsia" w:ascii="宋体" w:hAnsi="宋体"/>
          <w:sz w:val="18"/>
          <w:szCs w:val="18"/>
        </w:rPr>
      </w:pPr>
      <w:r>
        <w:rPr>
          <w:rFonts w:hint="eastAsia" w:ascii="宋体" w:hAnsi="宋体"/>
          <w:sz w:val="18"/>
          <w:szCs w:val="18"/>
        </w:rPr>
        <w:t xml:space="preserve">[8] SAUNDERS F A．Electrotactile Sensory Aids for the Handicapped[R]．Presented at the 4th Annu．  </w:t>
      </w:r>
    </w:p>
    <w:p>
      <w:pPr>
        <w:rPr>
          <w:rFonts w:hint="eastAsia" w:ascii="宋体" w:hAnsi="宋体"/>
          <w:sz w:val="18"/>
          <w:szCs w:val="18"/>
        </w:rPr>
      </w:pPr>
      <w:r>
        <w:rPr>
          <w:rFonts w:hint="eastAsia" w:ascii="宋体" w:hAnsi="宋体"/>
          <w:sz w:val="18"/>
          <w:szCs w:val="18"/>
        </w:rPr>
        <w:t xml:space="preserve">    Meeting Biomedical Engineering Society, Los Angeles, CA, 1973．</w:t>
      </w:r>
    </w:p>
    <w:p>
      <w:pPr>
        <w:rPr>
          <w:rFonts w:hint="eastAsia" w:ascii="宋体" w:hAnsi="宋体"/>
          <w:sz w:val="18"/>
          <w:szCs w:val="18"/>
        </w:rPr>
      </w:pPr>
      <w:r>
        <w:rPr>
          <w:rFonts w:hint="eastAsia" w:ascii="宋体" w:hAnsi="宋体"/>
          <w:sz w:val="18"/>
          <w:szCs w:val="18"/>
        </w:rPr>
        <w:t xml:space="preserve">[9] BOHEKI J R．Adaptive AR Model Spectral Parameters for Monitoring Neonatal EEG [D]．Biomed．    </w:t>
      </w:r>
    </w:p>
    <w:p>
      <w:pPr>
        <w:rPr>
          <w:rFonts w:hint="eastAsia" w:ascii="宋体" w:hAnsi="宋体"/>
          <w:sz w:val="18"/>
          <w:szCs w:val="18"/>
        </w:rPr>
      </w:pPr>
      <w:r>
        <w:rPr>
          <w:rFonts w:hint="eastAsia" w:ascii="宋体" w:hAnsi="宋体"/>
          <w:sz w:val="18"/>
          <w:szCs w:val="18"/>
        </w:rPr>
        <w:t xml:space="preserve">    Eng．program, Univ．Fed．Rio de Janeiro, Rio de Janeiro, Brazil, 2000．</w:t>
      </w:r>
    </w:p>
    <w:p>
      <w:pPr>
        <w:rPr>
          <w:rFonts w:hint="eastAsia" w:ascii="宋体" w:hAnsi="宋体"/>
          <w:sz w:val="18"/>
          <w:szCs w:val="18"/>
        </w:rPr>
      </w:pPr>
      <w:r>
        <w:rPr>
          <w:rFonts w:hint="eastAsia" w:ascii="宋体" w:hAnsi="宋体"/>
          <w:sz w:val="18"/>
          <w:szCs w:val="18"/>
        </w:rPr>
        <w:t>[10] 张云．我国多层次证券市场下的投资者保护研究[D]．福州:福建师范大学,2011:1-62．</w:t>
      </w:r>
    </w:p>
    <w:p>
      <w:pPr>
        <w:rPr>
          <w:rFonts w:hint="eastAsia" w:ascii="宋体" w:hAnsi="宋体"/>
          <w:sz w:val="18"/>
          <w:szCs w:val="18"/>
        </w:rPr>
      </w:pPr>
      <w:r>
        <w:rPr>
          <w:rFonts w:hint="eastAsia" w:ascii="宋体" w:hAnsi="宋体"/>
          <w:sz w:val="18"/>
          <w:szCs w:val="18"/>
        </w:rPr>
        <w:t>[11] 习近平．在第十二届全国人民代表大会第一次会议上的讲话[N]．人民日报,2103-03-18（1）．</w:t>
      </w:r>
    </w:p>
    <w:p>
      <w:pPr>
        <w:rPr>
          <w:rFonts w:hint="eastAsia" w:ascii="宋体" w:hAnsi="宋体"/>
          <w:sz w:val="18"/>
          <w:szCs w:val="18"/>
        </w:rPr>
      </w:pPr>
      <w:r>
        <w:rPr>
          <w:rFonts w:hint="eastAsia" w:ascii="宋体" w:hAnsi="宋体"/>
          <w:sz w:val="18"/>
          <w:szCs w:val="18"/>
        </w:rPr>
        <w:t xml:space="preserve">[12] 王景新．“新三农”问题值得关注:对无地、失地、外出打工农民现状的剖析[OL]．               </w:t>
      </w:r>
    </w:p>
    <w:p>
      <w:pPr>
        <w:rPr>
          <w:rFonts w:hint="eastAsia" w:ascii="宋体" w:hAnsi="宋体"/>
          <w:sz w:val="18"/>
          <w:szCs w:val="18"/>
        </w:rPr>
      </w:pPr>
      <w:r>
        <w:rPr>
          <w:rFonts w:hint="eastAsia" w:ascii="宋体" w:hAnsi="宋体"/>
          <w:sz w:val="18"/>
          <w:szCs w:val="18"/>
        </w:rPr>
        <w:t xml:space="preserve">     [2014-02-10].http://www.people.com.cn/GB/guandian/1035/2372748.html．</w:t>
      </w:r>
    </w:p>
    <w:p>
      <w:pPr>
        <w:rPr>
          <w:rFonts w:hint="eastAsia" w:ascii="宋体" w:hAnsi="宋体"/>
          <w:sz w:val="18"/>
          <w:szCs w:val="18"/>
        </w:rPr>
      </w:pPr>
      <w:r>
        <w:rPr>
          <w:rFonts w:hint="eastAsia" w:ascii="宋体" w:hAnsi="宋体"/>
          <w:sz w:val="18"/>
          <w:szCs w:val="18"/>
        </w:rPr>
        <w:t xml:space="preserve">[13] 中华人民共和国审计署．全国政府性债务审计结果（2013年第32号公告）[EB/OL]．[2014-02-16]． </w:t>
      </w:r>
    </w:p>
    <w:p>
      <w:pPr>
        <w:rPr>
          <w:rFonts w:hint="eastAsia"/>
          <w:szCs w:val="21"/>
        </w:rPr>
      </w:pPr>
      <w:r>
        <w:rPr>
          <w:rFonts w:hint="eastAsia" w:ascii="宋体" w:hAnsi="宋体"/>
          <w:sz w:val="18"/>
          <w:szCs w:val="18"/>
        </w:rPr>
        <w:t xml:space="preserve">     http://www.audit.gov.cn/n1992130/n1992150/n1992500/3432077.html．</w:t>
      </w:r>
    </w:p>
    <w:p>
      <w:pPr>
        <w:spacing w:after="156" w:afterLines="50"/>
        <w:jc w:val="left"/>
      </w:pPr>
      <w:r>
        <w:rPr>
          <w:rFonts w:hint="eastAsia" w:ascii="楷体_GB2312" w:eastAsia="楷体_GB2312"/>
          <w:color w:val="0000FF"/>
          <w:szCs w:val="24"/>
        </w:rPr>
        <w:t>( 宋体小5号)</w:t>
      </w:r>
    </w:p>
    <w:p>
      <w:pPr>
        <w:spacing w:line="460" w:lineRule="exact"/>
        <w:rPr>
          <w:rFonts w:hint="eastAsia"/>
          <w:b/>
          <w:bCs/>
          <w:sz w:val="24"/>
          <w:szCs w:val="24"/>
        </w:rPr>
      </w:pPr>
      <w:r>
        <w:rPr>
          <w:rFonts w:hint="eastAsia"/>
          <w:b/>
          <w:bCs/>
          <w:sz w:val="24"/>
          <w:szCs w:val="24"/>
        </w:rPr>
        <w:t>英文摘要示例：</w:t>
      </w:r>
    </w:p>
    <w:p>
      <w:pPr>
        <w:spacing w:line="460" w:lineRule="exact"/>
        <w:rPr>
          <w:rFonts w:hint="eastAsia"/>
          <w:b/>
          <w:bCs/>
          <w:sz w:val="24"/>
          <w:szCs w:val="24"/>
        </w:rPr>
      </w:pPr>
    </w:p>
    <w:p>
      <w:pPr>
        <w:spacing w:line="460" w:lineRule="exact"/>
        <w:jc w:val="center"/>
        <w:rPr>
          <w:b/>
          <w:sz w:val="28"/>
          <w:szCs w:val="28"/>
        </w:rPr>
      </w:pPr>
      <w:r>
        <w:rPr>
          <w:rFonts w:hint="eastAsia"/>
          <w:b/>
          <w:sz w:val="28"/>
          <w:szCs w:val="28"/>
        </w:rPr>
        <w:t>Research into Organization Structure of Floods Emergency Management under Bureaucracy-Cooperation System:A Case Study of Huaihe River Basin</w:t>
      </w:r>
      <w:r>
        <w:rPr>
          <w:rFonts w:hint="eastAsia" w:ascii="楷体_GB2312" w:eastAsia="楷体_GB2312"/>
          <w:color w:val="FF0000"/>
          <w:szCs w:val="24"/>
        </w:rPr>
        <w:t>（Times New Roman 4号粗体居中）</w:t>
      </w:r>
    </w:p>
    <w:p>
      <w:pPr>
        <w:spacing w:line="460" w:lineRule="exact"/>
        <w:jc w:val="center"/>
        <w:rPr>
          <w:rFonts w:hint="eastAsia"/>
          <w:bCs/>
          <w:szCs w:val="21"/>
        </w:rPr>
      </w:pPr>
      <w:r>
        <w:rPr>
          <w:rFonts w:hint="eastAsia"/>
          <w:bCs/>
          <w:szCs w:val="21"/>
        </w:rPr>
        <w:t>WANG Hui-min，et al</w:t>
      </w:r>
      <w:r>
        <w:rPr>
          <w:rFonts w:hint="eastAsia" w:ascii="楷体_GB2312" w:eastAsia="楷体_GB2312"/>
          <w:color w:val="FF0000"/>
          <w:szCs w:val="24"/>
        </w:rPr>
        <w:t>（Times New Roman 5号居中）</w:t>
      </w:r>
    </w:p>
    <w:p>
      <w:pPr>
        <w:spacing w:line="460" w:lineRule="exact"/>
        <w:jc w:val="center"/>
        <w:rPr>
          <w:rFonts w:hint="eastAsia"/>
          <w:bCs/>
          <w:szCs w:val="21"/>
        </w:rPr>
      </w:pPr>
      <w:r>
        <w:rPr>
          <w:rFonts w:hint="eastAsia"/>
          <w:bCs/>
          <w:szCs w:val="21"/>
        </w:rPr>
        <w:t>(State Key Laboratory of Hydrology-Water Resources and Hydraulic Engineering,Hohai University, Nanjing 210098, China)</w:t>
      </w:r>
      <w:r>
        <w:rPr>
          <w:rFonts w:hint="eastAsia" w:ascii="楷体_GB2312" w:eastAsia="楷体_GB2312"/>
          <w:color w:val="FF0000"/>
          <w:szCs w:val="24"/>
        </w:rPr>
        <w:t>（Times New Roman 5号居中）</w:t>
      </w:r>
    </w:p>
    <w:p>
      <w:pPr>
        <w:autoSpaceDE w:val="0"/>
        <w:autoSpaceDN w:val="0"/>
        <w:adjustRightInd w:val="0"/>
        <w:spacing w:line="400" w:lineRule="exact"/>
        <w:outlineLvl w:val="0"/>
        <w:rPr>
          <w:rFonts w:hint="eastAsia"/>
          <w:b/>
          <w:sz w:val="18"/>
          <w:szCs w:val="18"/>
        </w:rPr>
      </w:pPr>
      <w:r>
        <w:rPr>
          <w:rFonts w:hint="eastAsia"/>
          <w:b/>
          <w:szCs w:val="21"/>
        </w:rPr>
        <w:t>Abstract:</w:t>
      </w:r>
      <w:r>
        <w:rPr>
          <w:rFonts w:hint="eastAsia" w:ascii="楷体_GB2312" w:eastAsia="楷体_GB2312"/>
          <w:color w:val="FF0000"/>
          <w:szCs w:val="24"/>
        </w:rPr>
        <w:t>（Times New Roman 5号粗体）</w:t>
      </w:r>
      <w:r>
        <w:rPr>
          <w:rFonts w:hint="eastAsia"/>
          <w:bCs/>
          <w:sz w:val="18"/>
          <w:szCs w:val="18"/>
        </w:rPr>
        <w:t>F</w:t>
      </w:r>
      <w:r>
        <w:rPr>
          <w:bCs/>
          <w:sz w:val="18"/>
          <w:szCs w:val="18"/>
        </w:rPr>
        <w:t xml:space="preserve">loods are tending to normalization </w:t>
      </w:r>
      <w:bookmarkStart w:id="18" w:name="OLE_LINK21"/>
      <w:r>
        <w:rPr>
          <w:bCs/>
          <w:sz w:val="18"/>
          <w:szCs w:val="18"/>
        </w:rPr>
        <w:t xml:space="preserve">in </w:t>
      </w:r>
      <w:bookmarkEnd w:id="18"/>
      <w:r>
        <w:rPr>
          <w:rFonts w:hint="eastAsia"/>
          <w:bCs/>
          <w:sz w:val="18"/>
          <w:szCs w:val="18"/>
        </w:rPr>
        <w:t>recent years</w:t>
      </w:r>
      <w:r>
        <w:rPr>
          <w:bCs/>
          <w:sz w:val="18"/>
          <w:szCs w:val="18"/>
        </w:rPr>
        <w:t>.</w:t>
      </w:r>
      <w:bookmarkStart w:id="19" w:name="OLE_LINK44"/>
      <w:r>
        <w:rPr>
          <w:bCs/>
          <w:sz w:val="18"/>
          <w:szCs w:val="18"/>
        </w:rPr>
        <w:t xml:space="preserve"> The current Flood Control and Drought Relief Organization System</w:t>
      </w:r>
      <w:bookmarkEnd w:id="19"/>
      <w:r>
        <w:rPr>
          <w:bCs/>
          <w:sz w:val="18"/>
          <w:szCs w:val="18"/>
        </w:rPr>
        <w:t xml:space="preserve"> </w:t>
      </w:r>
      <w:r>
        <w:rPr>
          <w:bCs/>
          <w:sz w:val="18"/>
          <w:szCs w:val="18"/>
        </w:rPr>
        <w:fldChar w:fldCharType="begin"/>
      </w:r>
      <w:r>
        <w:rPr>
          <w:bCs/>
          <w:sz w:val="18"/>
          <w:szCs w:val="18"/>
        </w:rPr>
        <w:instrText xml:space="preserve"> HYPERLINK "dict://key.0895DFE8DB67F9409DB285590D870EDD/have%20too%20many%20difficulties%20to%20cope%20with" \o "查找: have too many difficulties to cope with" </w:instrText>
      </w:r>
      <w:r>
        <w:rPr>
          <w:bCs/>
          <w:sz w:val="18"/>
          <w:szCs w:val="18"/>
        </w:rPr>
        <w:fldChar w:fldCharType="separate"/>
      </w:r>
      <w:r>
        <w:rPr>
          <w:bCs/>
          <w:sz w:val="18"/>
          <w:szCs w:val="18"/>
        </w:rPr>
        <w:t>has too many difficulties to cope with</w:t>
      </w:r>
      <w:r>
        <w:rPr>
          <w:bCs/>
          <w:sz w:val="18"/>
          <w:szCs w:val="18"/>
        </w:rPr>
        <w:fldChar w:fldCharType="end"/>
      </w:r>
      <w:r>
        <w:rPr>
          <w:bCs/>
          <w:sz w:val="18"/>
          <w:szCs w:val="18"/>
        </w:rPr>
        <w:t xml:space="preserve"> floods which become increasingly complex. It is proposed that emergency management system of floods have to integrate bureaucracy with cooperative system, which corresponds with Chinese reality. Therefore,</w:t>
      </w:r>
      <w:bookmarkStart w:id="20" w:name="OLE_LINK6"/>
      <w:r>
        <w:rPr>
          <w:bCs/>
          <w:sz w:val="18"/>
          <w:szCs w:val="18"/>
        </w:rPr>
        <w:t xml:space="preserve"> management thoughts </w:t>
      </w:r>
      <w:r>
        <w:rPr>
          <w:rFonts w:hint="eastAsia"/>
          <w:bCs/>
          <w:sz w:val="18"/>
          <w:szCs w:val="18"/>
        </w:rPr>
        <w:t xml:space="preserve">on </w:t>
      </w:r>
      <w:r>
        <w:rPr>
          <w:bCs/>
          <w:sz w:val="18"/>
          <w:szCs w:val="18"/>
        </w:rPr>
        <w:t>“bureaucracy-cooperation”</w:t>
      </w:r>
      <w:r>
        <w:rPr>
          <w:rFonts w:hint="eastAsia"/>
          <w:bCs/>
          <w:sz w:val="18"/>
          <w:szCs w:val="18"/>
        </w:rPr>
        <w:t xml:space="preserve"> </w:t>
      </w:r>
      <w:r>
        <w:rPr>
          <w:bCs/>
          <w:sz w:val="18"/>
          <w:szCs w:val="18"/>
        </w:rPr>
        <w:t xml:space="preserve">system </w:t>
      </w:r>
      <w:r>
        <w:rPr>
          <w:rFonts w:hint="eastAsia"/>
          <w:bCs/>
          <w:sz w:val="18"/>
          <w:szCs w:val="18"/>
        </w:rPr>
        <w:t xml:space="preserve">are </w:t>
      </w:r>
      <w:r>
        <w:rPr>
          <w:bCs/>
          <w:sz w:val="18"/>
          <w:szCs w:val="18"/>
        </w:rPr>
        <w:t>expound</w:t>
      </w:r>
      <w:r>
        <w:rPr>
          <w:rFonts w:hint="eastAsia"/>
          <w:bCs/>
          <w:sz w:val="18"/>
          <w:szCs w:val="18"/>
        </w:rPr>
        <w:t xml:space="preserve">ed. Then </w:t>
      </w:r>
      <w:r>
        <w:rPr>
          <w:bCs/>
          <w:sz w:val="18"/>
          <w:szCs w:val="18"/>
        </w:rPr>
        <w:t>the organization structure</w:t>
      </w:r>
      <w:bookmarkEnd w:id="20"/>
      <w:r>
        <w:rPr>
          <w:bCs/>
          <w:sz w:val="18"/>
          <w:szCs w:val="18"/>
        </w:rPr>
        <w:t xml:space="preserve"> of floods emergency management is constructed </w:t>
      </w:r>
      <w:bookmarkStart w:id="21" w:name="OLE_LINK8"/>
      <w:r>
        <w:rPr>
          <w:bCs/>
          <w:sz w:val="18"/>
          <w:szCs w:val="18"/>
        </w:rPr>
        <w:t xml:space="preserve">under </w:t>
      </w:r>
      <w:bookmarkStart w:id="22" w:name="OLE_LINK28"/>
      <w:bookmarkStart w:id="23" w:name="OLE_LINK36"/>
      <w:r>
        <w:rPr>
          <w:bCs/>
          <w:sz w:val="18"/>
          <w:szCs w:val="18"/>
        </w:rPr>
        <w:t>“bureaucracy-cooperation”</w:t>
      </w:r>
      <w:bookmarkEnd w:id="22"/>
      <w:r>
        <w:rPr>
          <w:bCs/>
          <w:sz w:val="18"/>
          <w:szCs w:val="18"/>
        </w:rPr>
        <w:t xml:space="preserve"> system</w:t>
      </w:r>
      <w:bookmarkEnd w:id="21"/>
      <w:bookmarkEnd w:id="23"/>
      <w:r>
        <w:rPr>
          <w:bCs/>
          <w:sz w:val="18"/>
          <w:szCs w:val="18"/>
        </w:rPr>
        <w:t xml:space="preserve"> based on Crisis Management Shell Structure(CMSS). This structure reserves the</w:t>
      </w:r>
      <w:bookmarkStart w:id="24" w:name="OLE_LINK34"/>
      <w:r>
        <w:rPr>
          <w:bCs/>
          <w:sz w:val="18"/>
          <w:szCs w:val="18"/>
        </w:rPr>
        <w:t xml:space="preserve"> advantages</w:t>
      </w:r>
      <w:bookmarkEnd w:id="24"/>
      <w:r>
        <w:rPr>
          <w:bCs/>
          <w:sz w:val="18"/>
          <w:szCs w:val="18"/>
        </w:rPr>
        <w:t xml:space="preserve"> of high efficiency in bureaucracy and flexibility in cooperative system. Task-grouping and modularization management are emphasized in the “bureaucracy-cooperation” system to reach seamless cooperation among multi-agent. </w:t>
      </w:r>
      <w:r>
        <w:rPr>
          <w:rFonts w:hint="eastAsia"/>
          <w:bCs/>
          <w:sz w:val="18"/>
          <w:szCs w:val="18"/>
        </w:rPr>
        <w:t>And</w:t>
      </w:r>
      <w:r>
        <w:rPr>
          <w:bCs/>
          <w:sz w:val="18"/>
          <w:szCs w:val="18"/>
        </w:rPr>
        <w:t xml:space="preserve">, formation mechanism and operation mechanism of “bureaucracy-cooperation” system are elaborated. </w:t>
      </w:r>
      <w:r>
        <w:rPr>
          <w:rFonts w:hint="eastAsia"/>
          <w:bCs/>
          <w:sz w:val="18"/>
          <w:szCs w:val="18"/>
        </w:rPr>
        <w:t xml:space="preserve">Finally, by taking Huaihu River Basin as example, we design new organization structure under </w:t>
      </w:r>
      <w:r>
        <w:rPr>
          <w:bCs/>
          <w:sz w:val="18"/>
          <w:szCs w:val="18"/>
        </w:rPr>
        <w:t>“bureaucracy-cooperation” system</w:t>
      </w:r>
      <w:r>
        <w:rPr>
          <w:rFonts w:hint="eastAsia"/>
          <w:bCs/>
          <w:sz w:val="18"/>
          <w:szCs w:val="18"/>
        </w:rPr>
        <w:t xml:space="preserve"> and contrast it with the current structure. </w:t>
      </w:r>
      <w:r>
        <w:rPr>
          <w:bCs/>
          <w:sz w:val="18"/>
          <w:szCs w:val="18"/>
        </w:rPr>
        <w:t>W</w:t>
      </w:r>
      <w:r>
        <w:rPr>
          <w:rFonts w:hint="eastAsia"/>
          <w:bCs/>
          <w:sz w:val="18"/>
          <w:szCs w:val="18"/>
        </w:rPr>
        <w:t>e get conclusion that t</w:t>
      </w:r>
      <w:r>
        <w:rPr>
          <w:bCs/>
          <w:sz w:val="18"/>
          <w:szCs w:val="18"/>
        </w:rPr>
        <w:t>he former is more adapted to</w:t>
      </w:r>
      <w:r>
        <w:rPr>
          <w:rFonts w:hint="eastAsia"/>
          <w:bCs/>
          <w:sz w:val="18"/>
          <w:szCs w:val="18"/>
        </w:rPr>
        <w:t xml:space="preserve"> floods emergency management.</w:t>
      </w:r>
      <w:r>
        <w:rPr>
          <w:rFonts w:hint="eastAsia" w:ascii="楷体_GB2312" w:eastAsia="楷体_GB2312"/>
          <w:color w:val="FF0000"/>
          <w:szCs w:val="24"/>
        </w:rPr>
        <w:t>（Times New Roman 小5号）</w:t>
      </w:r>
    </w:p>
    <w:p>
      <w:pPr>
        <w:autoSpaceDE w:val="0"/>
        <w:autoSpaceDN w:val="0"/>
        <w:adjustRightInd w:val="0"/>
        <w:spacing w:line="400" w:lineRule="exact"/>
        <w:outlineLvl w:val="0"/>
        <w:rPr>
          <w:bCs/>
          <w:sz w:val="24"/>
        </w:rPr>
      </w:pPr>
      <w:r>
        <w:rPr>
          <w:b/>
          <w:bCs/>
          <w:sz w:val="24"/>
        </w:rPr>
        <w:t>Key words:</w:t>
      </w:r>
      <w:r>
        <w:rPr>
          <w:bCs/>
          <w:sz w:val="24"/>
        </w:rPr>
        <w:t xml:space="preserve"> </w:t>
      </w:r>
      <w:bookmarkStart w:id="25" w:name="OLE_LINK18"/>
      <w:r>
        <w:rPr>
          <w:rFonts w:hint="eastAsia" w:ascii="楷体_GB2312" w:eastAsia="楷体_GB2312"/>
          <w:color w:val="FF0000"/>
          <w:szCs w:val="24"/>
        </w:rPr>
        <w:t>（Times New Roman 5号粗体）</w:t>
      </w:r>
      <w:r>
        <w:rPr>
          <w:bCs/>
          <w:sz w:val="18"/>
          <w:szCs w:val="18"/>
        </w:rPr>
        <w:t>bureaucracy-cooperation</w:t>
      </w:r>
      <w:bookmarkStart w:id="26" w:name="OLE_LINK20"/>
      <w:r>
        <w:rPr>
          <w:rFonts w:hint="eastAsia"/>
          <w:bCs/>
          <w:sz w:val="18"/>
          <w:szCs w:val="18"/>
        </w:rPr>
        <w:t>；</w:t>
      </w:r>
      <w:r>
        <w:rPr>
          <w:bCs/>
          <w:sz w:val="18"/>
          <w:szCs w:val="18"/>
        </w:rPr>
        <w:t>floods</w:t>
      </w:r>
      <w:bookmarkEnd w:id="25"/>
      <w:bookmarkEnd w:id="26"/>
      <w:bookmarkStart w:id="27" w:name="OLE_LINK13"/>
      <w:bookmarkStart w:id="28" w:name="OLE_LINK22"/>
      <w:r>
        <w:rPr>
          <w:rFonts w:hint="eastAsia"/>
          <w:bCs/>
          <w:sz w:val="18"/>
          <w:szCs w:val="18"/>
        </w:rPr>
        <w:t xml:space="preserve"> </w:t>
      </w:r>
      <w:r>
        <w:rPr>
          <w:bCs/>
          <w:sz w:val="18"/>
          <w:szCs w:val="18"/>
        </w:rPr>
        <w:t>emergency management；</w:t>
      </w:r>
      <w:bookmarkEnd w:id="27"/>
      <w:bookmarkEnd w:id="28"/>
      <w:r>
        <w:rPr>
          <w:bCs/>
          <w:sz w:val="18"/>
          <w:szCs w:val="18"/>
        </w:rPr>
        <w:t>organization structure</w:t>
      </w:r>
      <w:r>
        <w:rPr>
          <w:rFonts w:hint="eastAsia"/>
          <w:bCs/>
          <w:sz w:val="18"/>
          <w:szCs w:val="18"/>
        </w:rPr>
        <w:t>；</w:t>
      </w:r>
      <w:bookmarkStart w:id="29" w:name="OLE_LINK19"/>
      <w:r>
        <w:rPr>
          <w:bCs/>
          <w:sz w:val="18"/>
          <w:szCs w:val="18"/>
        </w:rPr>
        <w:t>Huaihe River Basin</w:t>
      </w:r>
      <w:bookmarkEnd w:id="29"/>
      <w:r>
        <w:rPr>
          <w:rFonts w:hint="eastAsia" w:ascii="楷体_GB2312" w:eastAsia="楷体_GB2312"/>
          <w:color w:val="FF0000"/>
          <w:szCs w:val="24"/>
        </w:rPr>
        <w:t>（Times New Roman 小5号）</w:t>
      </w:r>
    </w:p>
    <w:p>
      <w:pPr>
        <w:spacing w:line="460" w:lineRule="exact"/>
        <w:jc w:val="center"/>
        <w:rPr>
          <w:rFonts w:hint="eastAsia" w:ascii="宋体" w:hAnsi="宋体"/>
          <w:szCs w:val="21"/>
        </w:rPr>
      </w:pPr>
    </w:p>
    <w:p/>
    <w:p>
      <w:pPr>
        <w:jc w:val="center"/>
      </w:pPr>
    </w:p>
    <w:sectPr>
      <w:headerReference r:id="rId4" w:type="default"/>
      <w:footerReference r:id="rId6" w:type="default"/>
      <w:headerReference r:id="rId5" w:type="even"/>
      <w:footerReference r:id="rId7" w:type="even"/>
      <w:pgSz w:w="11906" w:h="16838"/>
      <w:pgMar w:top="1418" w:right="1701" w:bottom="1418" w:left="170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楷体_GB2312">
    <w:altName w:val="汉仪楷体简"/>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roma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rPr>
          <w:rFonts w:hint="eastAsia"/>
        </w:rPr>
      </w:pPr>
      <w:r>
        <w:rPr>
          <w:rFonts w:hint="eastAsia"/>
          <w:b/>
          <w:bCs/>
        </w:rPr>
        <w:t>收稿日期：</w:t>
      </w:r>
      <w:r>
        <w:rPr>
          <w:rFonts w:hint="eastAsia"/>
        </w:rPr>
        <w:t>2014-05-22</w:t>
      </w:r>
    </w:p>
    <w:p>
      <w:pPr>
        <w:pStyle w:val="7"/>
        <w:rPr>
          <w:rFonts w:hint="eastAsia"/>
        </w:rPr>
      </w:pPr>
      <w:r>
        <w:rPr>
          <w:rFonts w:hint="eastAsia"/>
          <w:b/>
          <w:bCs/>
        </w:rPr>
        <w:t>基金项目：</w:t>
      </w:r>
      <w:r>
        <w:rPr>
          <w:rFonts w:hint="eastAsia"/>
        </w:rPr>
        <w:t>国家社科基金重大项目（</w:t>
      </w:r>
      <w:r>
        <w:t>12&amp;ZD214</w:t>
      </w:r>
      <w:r>
        <w:rPr>
          <w:rFonts w:hint="eastAsia"/>
        </w:rPr>
        <w:t>）；</w:t>
      </w:r>
      <w:r>
        <w:t>国家自然科学基金</w:t>
      </w:r>
      <w:r>
        <w:rPr>
          <w:rFonts w:hint="eastAsia"/>
        </w:rPr>
        <w:t>重大研究计划</w:t>
      </w:r>
      <w:r>
        <w:t>（90924027）</w:t>
      </w:r>
      <w:r>
        <w:rPr>
          <w:rFonts w:hint="eastAsia"/>
        </w:rPr>
        <w:t>；</w:t>
      </w:r>
      <w:r>
        <w:t>国家自然科学基金（</w:t>
      </w:r>
      <w:r>
        <w:rPr>
          <w:rFonts w:eastAsia="楷体_GB2312"/>
        </w:rPr>
        <w:t>71433003</w:t>
      </w:r>
      <w:r>
        <w:t>）</w:t>
      </w:r>
    </w:p>
    <w:p>
      <w:pPr>
        <w:pStyle w:val="7"/>
        <w:rPr>
          <w:rFonts w:hint="eastAsia"/>
        </w:rPr>
      </w:pPr>
      <w:r>
        <w:rPr>
          <w:rFonts w:hint="eastAsia"/>
          <w:b/>
          <w:bCs/>
        </w:rPr>
        <w:t>作者简介：</w:t>
      </w:r>
      <w:r>
        <w:rPr>
          <w:rFonts w:hint="eastAsia"/>
        </w:rPr>
        <w:t>王慧敏（1963~），女，山西阳泉人，教授，从事管理科学理论与应用研究。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eastAsia"/>
      </w:rPr>
    </w:pPr>
    <w:r>
      <w:pict>
        <v:shape id="PowerPlusWaterMarkObject16866135" o:spid="_x0000_s2050" o:spt="136" type="#_x0000_t136" style="position:absolute;left:0pt;height:236.8pt;width:415.3pt;mso-position-horizontal:center;mso-position-horizontal-relative:margin;mso-position-vertical:center;mso-position-vertical-relative:margin;z-index:-251658240;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样本" style="font-family:宋体;font-size:36pt;v-text-align:center;"/>
        </v:shape>
      </w:pict>
    </w:r>
    <w:r>
      <w:rPr>
        <w:rFonts w:hint="eastAsia"/>
      </w:rPr>
      <w:t>河海大学学报（哲学社会科学版）论文来稿要求及格式样张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136" type="#_x0000_t136" style="position:absolute;left:0pt;height:236.8pt;width:415.3pt;mso-position-horizontal:center;mso-position-horizontal-relative:margin;mso-position-vertical:center;mso-position-vertical-relative:margin;z-index:-251657216;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样本"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CDE69"/>
    <w:multiLevelType w:val="singleLevel"/>
    <w:tmpl w:val="545CDE69"/>
    <w:lvl w:ilvl="0" w:tentative="0">
      <w:start w:val="7"/>
      <w:numFmt w:val="chineseCounting"/>
      <w:suff w:val="nothing"/>
      <w:lvlText w:val="%1、"/>
      <w:lvlJc w:val="left"/>
    </w:lvl>
  </w:abstractNum>
  <w:abstractNum w:abstractNumId="1">
    <w:nsid w:val="545CDE96"/>
    <w:multiLevelType w:val="singleLevel"/>
    <w:tmpl w:val="545CDE9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D8E"/>
    <w:rsid w:val="00037591"/>
    <w:rsid w:val="00064C3B"/>
    <w:rsid w:val="001A59F9"/>
    <w:rsid w:val="003C7046"/>
    <w:rsid w:val="004C27E4"/>
    <w:rsid w:val="004C3763"/>
    <w:rsid w:val="006904E2"/>
    <w:rsid w:val="0086066C"/>
    <w:rsid w:val="00992F2D"/>
    <w:rsid w:val="009C280F"/>
    <w:rsid w:val="00B27AF2"/>
    <w:rsid w:val="00B70769"/>
    <w:rsid w:val="00EF6A16"/>
    <w:rsid w:val="01264972"/>
    <w:rsid w:val="019D7E34"/>
    <w:rsid w:val="01AE5B4F"/>
    <w:rsid w:val="01C247F0"/>
    <w:rsid w:val="01D3250C"/>
    <w:rsid w:val="0218777D"/>
    <w:rsid w:val="024702CC"/>
    <w:rsid w:val="02852330"/>
    <w:rsid w:val="02FD0CF5"/>
    <w:rsid w:val="03C142B6"/>
    <w:rsid w:val="04B34B43"/>
    <w:rsid w:val="04F027A9"/>
    <w:rsid w:val="052E6A0B"/>
    <w:rsid w:val="05351C19"/>
    <w:rsid w:val="05A012C8"/>
    <w:rsid w:val="05EA2195"/>
    <w:rsid w:val="06A12170"/>
    <w:rsid w:val="07DD0873"/>
    <w:rsid w:val="07EA4F90"/>
    <w:rsid w:val="082038E6"/>
    <w:rsid w:val="08647852"/>
    <w:rsid w:val="0904195A"/>
    <w:rsid w:val="092A3D98"/>
    <w:rsid w:val="09313723"/>
    <w:rsid w:val="093211A4"/>
    <w:rsid w:val="093830AD"/>
    <w:rsid w:val="0A247833"/>
    <w:rsid w:val="0A945568"/>
    <w:rsid w:val="0B611439"/>
    <w:rsid w:val="0B7735DC"/>
    <w:rsid w:val="0C4D233B"/>
    <w:rsid w:val="0D0B39F3"/>
    <w:rsid w:val="0D344BB7"/>
    <w:rsid w:val="0E581497"/>
    <w:rsid w:val="0EBF433E"/>
    <w:rsid w:val="0EC74FCE"/>
    <w:rsid w:val="0EE213FB"/>
    <w:rsid w:val="0F995326"/>
    <w:rsid w:val="0FA201B4"/>
    <w:rsid w:val="108A5F33"/>
    <w:rsid w:val="10F26BDC"/>
    <w:rsid w:val="110E4E87"/>
    <w:rsid w:val="1168209E"/>
    <w:rsid w:val="11915461"/>
    <w:rsid w:val="126357B9"/>
    <w:rsid w:val="1265373B"/>
    <w:rsid w:val="12887F77"/>
    <w:rsid w:val="134273A6"/>
    <w:rsid w:val="13566046"/>
    <w:rsid w:val="13BA5D6B"/>
    <w:rsid w:val="142E02A8"/>
    <w:rsid w:val="14730EEC"/>
    <w:rsid w:val="149D1BE1"/>
    <w:rsid w:val="15383FDD"/>
    <w:rsid w:val="1720607C"/>
    <w:rsid w:val="17725E86"/>
    <w:rsid w:val="17857976"/>
    <w:rsid w:val="17C23687"/>
    <w:rsid w:val="18181E97"/>
    <w:rsid w:val="184461DF"/>
    <w:rsid w:val="18DA1F55"/>
    <w:rsid w:val="19BE7C49"/>
    <w:rsid w:val="19E90A8E"/>
    <w:rsid w:val="1C592E11"/>
    <w:rsid w:val="1C61021D"/>
    <w:rsid w:val="1D3C6C87"/>
    <w:rsid w:val="1DB96250"/>
    <w:rsid w:val="1E225C80"/>
    <w:rsid w:val="1F643D0D"/>
    <w:rsid w:val="20A26F98"/>
    <w:rsid w:val="20AD7527"/>
    <w:rsid w:val="21053774"/>
    <w:rsid w:val="212671F1"/>
    <w:rsid w:val="21372D0F"/>
    <w:rsid w:val="21824088"/>
    <w:rsid w:val="221D6484"/>
    <w:rsid w:val="229C0058"/>
    <w:rsid w:val="23FA7F94"/>
    <w:rsid w:val="24423C0B"/>
    <w:rsid w:val="24A75B2E"/>
    <w:rsid w:val="24E53415"/>
    <w:rsid w:val="24EB531E"/>
    <w:rsid w:val="24FC68BD"/>
    <w:rsid w:val="25167467"/>
    <w:rsid w:val="25346A17"/>
    <w:rsid w:val="26004E66"/>
    <w:rsid w:val="262650A6"/>
    <w:rsid w:val="262A3AAC"/>
    <w:rsid w:val="26D0553E"/>
    <w:rsid w:val="273242DE"/>
    <w:rsid w:val="27DB7BEF"/>
    <w:rsid w:val="28357004"/>
    <w:rsid w:val="289C7CAD"/>
    <w:rsid w:val="2967647C"/>
    <w:rsid w:val="2A0E7F0F"/>
    <w:rsid w:val="2A380D53"/>
    <w:rsid w:val="2A916E63"/>
    <w:rsid w:val="2AAB580F"/>
    <w:rsid w:val="2ABD0FAC"/>
    <w:rsid w:val="2B15163B"/>
    <w:rsid w:val="2C0525C8"/>
    <w:rsid w:val="2C2C6C04"/>
    <w:rsid w:val="2CD165DD"/>
    <w:rsid w:val="2DAC5DFC"/>
    <w:rsid w:val="2E801657"/>
    <w:rsid w:val="2E9615FD"/>
    <w:rsid w:val="2EA30912"/>
    <w:rsid w:val="2EAC37A0"/>
    <w:rsid w:val="2EC96A51"/>
    <w:rsid w:val="2EEA6B08"/>
    <w:rsid w:val="2F1B72D7"/>
    <w:rsid w:val="2FB055CC"/>
    <w:rsid w:val="2FFB21C9"/>
    <w:rsid w:val="30850AA8"/>
    <w:rsid w:val="30AC6769"/>
    <w:rsid w:val="311D7D22"/>
    <w:rsid w:val="321A21C3"/>
    <w:rsid w:val="33747E76"/>
    <w:rsid w:val="34A80273"/>
    <w:rsid w:val="354A587E"/>
    <w:rsid w:val="359A6901"/>
    <w:rsid w:val="35D10FDA"/>
    <w:rsid w:val="37067D52"/>
    <w:rsid w:val="37EE5AD1"/>
    <w:rsid w:val="38E505E8"/>
    <w:rsid w:val="394F2215"/>
    <w:rsid w:val="39AF7CB0"/>
    <w:rsid w:val="3A332488"/>
    <w:rsid w:val="3A740CF3"/>
    <w:rsid w:val="3A867D14"/>
    <w:rsid w:val="3AF328C6"/>
    <w:rsid w:val="3B94244F"/>
    <w:rsid w:val="3C635FA0"/>
    <w:rsid w:val="3D363D7A"/>
    <w:rsid w:val="3E675770"/>
    <w:rsid w:val="3EB62F71"/>
    <w:rsid w:val="3F63308A"/>
    <w:rsid w:val="3FAD5A88"/>
    <w:rsid w:val="412B5EF9"/>
    <w:rsid w:val="41602ED0"/>
    <w:rsid w:val="4186530E"/>
    <w:rsid w:val="41CC21FF"/>
    <w:rsid w:val="41EA2E34"/>
    <w:rsid w:val="423441AD"/>
    <w:rsid w:val="42E3304C"/>
    <w:rsid w:val="4389125B"/>
    <w:rsid w:val="43B93FA8"/>
    <w:rsid w:val="43C226BA"/>
    <w:rsid w:val="447F2A6D"/>
    <w:rsid w:val="44BF3856"/>
    <w:rsid w:val="45117DDD"/>
    <w:rsid w:val="46602F82"/>
    <w:rsid w:val="46726720"/>
    <w:rsid w:val="471A5C34"/>
    <w:rsid w:val="48270370"/>
    <w:rsid w:val="48403498"/>
    <w:rsid w:val="4A545481"/>
    <w:rsid w:val="4A6D602B"/>
    <w:rsid w:val="4ACC3E46"/>
    <w:rsid w:val="4C326C11"/>
    <w:rsid w:val="4C831E93"/>
    <w:rsid w:val="4CA07244"/>
    <w:rsid w:val="4D8E364A"/>
    <w:rsid w:val="4DDD6C4C"/>
    <w:rsid w:val="4E1B6731"/>
    <w:rsid w:val="4E2F31D3"/>
    <w:rsid w:val="4E622728"/>
    <w:rsid w:val="4F93631E"/>
    <w:rsid w:val="4FB42FCF"/>
    <w:rsid w:val="4FFD46C8"/>
    <w:rsid w:val="50652DF3"/>
    <w:rsid w:val="506C277D"/>
    <w:rsid w:val="51785239"/>
    <w:rsid w:val="51A105FC"/>
    <w:rsid w:val="5277735B"/>
    <w:rsid w:val="52885076"/>
    <w:rsid w:val="53455429"/>
    <w:rsid w:val="535769C9"/>
    <w:rsid w:val="53B77CE7"/>
    <w:rsid w:val="54EA355C"/>
    <w:rsid w:val="550E0298"/>
    <w:rsid w:val="555D389B"/>
    <w:rsid w:val="56C9056E"/>
    <w:rsid w:val="57BA337A"/>
    <w:rsid w:val="58704A10"/>
    <w:rsid w:val="58717625"/>
    <w:rsid w:val="58D21C48"/>
    <w:rsid w:val="59442807"/>
    <w:rsid w:val="59F70726"/>
    <w:rsid w:val="5A9A37B2"/>
    <w:rsid w:val="5ADC5520"/>
    <w:rsid w:val="5B4E0CD7"/>
    <w:rsid w:val="5C0B51FB"/>
    <w:rsid w:val="5C622D9E"/>
    <w:rsid w:val="5CF01708"/>
    <w:rsid w:val="5D982E1B"/>
    <w:rsid w:val="5DE31F95"/>
    <w:rsid w:val="5DEC28A5"/>
    <w:rsid w:val="5DF744B9"/>
    <w:rsid w:val="5E7E7C15"/>
    <w:rsid w:val="5E865022"/>
    <w:rsid w:val="5EBB7A7A"/>
    <w:rsid w:val="60DE0679"/>
    <w:rsid w:val="618B4015"/>
    <w:rsid w:val="62B06376"/>
    <w:rsid w:val="637F0FCD"/>
    <w:rsid w:val="63C11A36"/>
    <w:rsid w:val="63FF4D9E"/>
    <w:rsid w:val="64DF440C"/>
    <w:rsid w:val="654D4A40"/>
    <w:rsid w:val="659C2241"/>
    <w:rsid w:val="65D12A9B"/>
    <w:rsid w:val="65E174B2"/>
    <w:rsid w:val="66174109"/>
    <w:rsid w:val="68403B19"/>
    <w:rsid w:val="68577EBB"/>
    <w:rsid w:val="68C94977"/>
    <w:rsid w:val="6910096E"/>
    <w:rsid w:val="6AFD6E95"/>
    <w:rsid w:val="6BAA4A2F"/>
    <w:rsid w:val="6CDA09A4"/>
    <w:rsid w:val="6D98205C"/>
    <w:rsid w:val="6DB82591"/>
    <w:rsid w:val="6DEC3CE4"/>
    <w:rsid w:val="6E6B2034"/>
    <w:rsid w:val="6EA56D16"/>
    <w:rsid w:val="6ECF42D7"/>
    <w:rsid w:val="6EF36A95"/>
    <w:rsid w:val="6F846384"/>
    <w:rsid w:val="707F1A9F"/>
    <w:rsid w:val="70C35A0C"/>
    <w:rsid w:val="71ED1C76"/>
    <w:rsid w:val="749D155F"/>
    <w:rsid w:val="74B16002"/>
    <w:rsid w:val="74BC6591"/>
    <w:rsid w:val="74CB6BAB"/>
    <w:rsid w:val="75070F8F"/>
    <w:rsid w:val="75853A5B"/>
    <w:rsid w:val="777F291C"/>
    <w:rsid w:val="78630991"/>
    <w:rsid w:val="797C6F95"/>
    <w:rsid w:val="798D1378"/>
    <w:rsid w:val="79DC01FD"/>
    <w:rsid w:val="7A0F3ECF"/>
    <w:rsid w:val="7A35410F"/>
    <w:rsid w:val="7A481AAB"/>
    <w:rsid w:val="7A4F1436"/>
    <w:rsid w:val="7A7F7A06"/>
    <w:rsid w:val="7BE86FD9"/>
    <w:rsid w:val="7BED3460"/>
    <w:rsid w:val="7C751E17"/>
    <w:rsid w:val="7D5E7E3F"/>
    <w:rsid w:val="7DD2237C"/>
    <w:rsid w:val="7EB85AF2"/>
    <w:rsid w:val="7FCE30BB"/>
    <w:rsid w:val="7FD716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qFormat/>
    <w:uiPriority w:val="0"/>
    <w:rPr>
      <w:rFonts w:ascii="宋体" w:hAnsi="Courier New" w:eastAsia="宋体" w:cs="Courier New"/>
      <w:szCs w:val="21"/>
    </w:rPr>
  </w:style>
  <w:style w:type="paragraph" w:styleId="4">
    <w:name w:val="endnote text"/>
    <w:qFormat/>
    <w:uiPriority w:val="0"/>
    <w:pPr>
      <w:snapToGrid w:val="0"/>
      <w:jc w:val="left"/>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footnote text"/>
    <w:basedOn w:val="1"/>
    <w:qFormat/>
    <w:uiPriority w:val="0"/>
    <w:pPr>
      <w:snapToGrid w:val="0"/>
      <w:jc w:val="left"/>
    </w:pPr>
    <w:rPr>
      <w:rFonts w:ascii="Times New Roman" w:hAnsi="Times New Roman"/>
      <w:kern w:val="0"/>
      <w:sz w:val="18"/>
      <w:szCs w:val="18"/>
    </w:rPr>
  </w:style>
  <w:style w:type="character" w:styleId="9">
    <w:name w:val="page number"/>
    <w:basedOn w:val="8"/>
    <w:qFormat/>
    <w:uiPriority w:val="0"/>
  </w:style>
  <w:style w:type="character" w:styleId="10">
    <w:name w:val="Hyperlink"/>
    <w:qFormat/>
    <w:uiPriority w:val="0"/>
    <w:rPr>
      <w:color w:val="0000FF"/>
      <w:u w:val="single"/>
    </w:rPr>
  </w:style>
  <w:style w:type="character" w:styleId="11">
    <w:name w:val="footnote reference"/>
    <w:qFormat/>
    <w:uiPriority w:val="0"/>
    <w:rPr>
      <w:vertAlign w:val="superscript"/>
    </w:rPr>
  </w:style>
  <w:style w:type="table" w:styleId="13">
    <w:name w:val="Table Grid"/>
    <w:basedOn w:val="1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style291"/>
    <w:basedOn w:val="8"/>
    <w:qFormat/>
    <w:uiPriority w:val="0"/>
    <w:rPr>
      <w:sz w:val="18"/>
      <w:szCs w:val="18"/>
    </w:rPr>
  </w:style>
  <w:style w:type="character" w:customStyle="1" w:styleId="15">
    <w:name w:val="apple-converted-space"/>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936</Words>
  <Characters>5338</Characters>
  <Lines>44</Lines>
  <Paragraphs>12</Paragraphs>
  <ScaleCrop>false</ScaleCrop>
  <LinksUpToDate>false</LinksUpToDate>
  <CharactersWithSpaces>6262</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2014-04-10T08:11:00Z</dcterms:created>
  <dc:creator>dell</dc:creator>
  <cp:lastModifiedBy>celeste</cp:lastModifiedBy>
  <dcterms:modified xsi:type="dcterms:W3CDTF">2021-01-05T11:06:25Z</dcterms:modified>
  <dc:title>本科毕业论文规范格式(文科)                    </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