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b/>
          <w:bCs/>
          <w:sz w:val="28"/>
          <w:szCs w:val="28"/>
        </w:rPr>
      </w:pPr>
      <w:bookmarkStart w:id="0" w:name="OLE_LINK5"/>
      <w:bookmarkStart w:id="1" w:name="OLE_LINK33"/>
      <w:r>
        <w:rPr>
          <w:rFonts w:hint="eastAsia"/>
          <w:b/>
          <w:bCs/>
          <w:sz w:val="28"/>
          <w:szCs w:val="28"/>
        </w:rPr>
        <w:t>河海大学学报（哲学社会科学版）论文来稿要求</w:t>
      </w:r>
      <w:bookmarkStart w:id="30" w:name="_GoBack"/>
      <w:bookmarkEnd w:id="30"/>
    </w:p>
    <w:p>
      <w:pPr>
        <w:spacing w:line="360" w:lineRule="auto"/>
        <w:jc w:val="left"/>
        <w:rPr>
          <w:rFonts w:ascii="Arial" w:hAnsi="Arial" w:cs="Arial"/>
          <w:color w:val="000000"/>
          <w:sz w:val="24"/>
          <w:szCs w:val="24"/>
        </w:rPr>
      </w:pPr>
      <w:r>
        <w:rPr>
          <w:rFonts w:hint="eastAsia" w:ascii="Arial" w:hAnsi="Arial" w:cs="Arial"/>
          <w:b/>
          <w:bCs/>
          <w:color w:val="000000"/>
          <w:sz w:val="24"/>
          <w:szCs w:val="24"/>
        </w:rPr>
        <w:t>一、</w:t>
      </w:r>
      <w:r>
        <w:rPr>
          <w:rFonts w:ascii="Arial" w:hAnsi="Arial" w:cs="Arial"/>
          <w:b/>
          <w:bCs/>
          <w:color w:val="000000"/>
          <w:sz w:val="24"/>
          <w:szCs w:val="24"/>
        </w:rPr>
        <w:t>文题：</w:t>
      </w:r>
      <w:r>
        <w:rPr>
          <w:rFonts w:ascii="Arial" w:hAnsi="Arial" w:cs="Arial"/>
          <w:color w:val="000000"/>
          <w:sz w:val="24"/>
          <w:szCs w:val="24"/>
        </w:rPr>
        <w:t>文题与各级标题一般不超过20个字。</w:t>
      </w:r>
      <w:r>
        <w:rPr>
          <w:rFonts w:ascii="Arial" w:hAnsi="Arial" w:cs="Arial"/>
          <w:color w:val="000000"/>
          <w:sz w:val="24"/>
          <w:szCs w:val="24"/>
        </w:rPr>
        <w:br w:type="textWrapping"/>
      </w:r>
      <w:r>
        <w:rPr>
          <w:rFonts w:hint="eastAsia" w:ascii="Arial" w:hAnsi="Arial" w:cs="Arial"/>
          <w:b/>
          <w:bCs/>
          <w:color w:val="000000"/>
          <w:sz w:val="24"/>
          <w:szCs w:val="24"/>
        </w:rPr>
        <w:t>二、</w:t>
      </w:r>
      <w:r>
        <w:rPr>
          <w:rFonts w:ascii="Arial" w:hAnsi="Arial" w:cs="Arial"/>
          <w:b/>
          <w:bCs/>
          <w:color w:val="000000"/>
          <w:sz w:val="24"/>
          <w:szCs w:val="24"/>
        </w:rPr>
        <w:t>作者署名</w:t>
      </w:r>
      <w:r>
        <w:rPr>
          <w:rFonts w:ascii="Arial" w:hAnsi="Arial" w:cs="Arial"/>
          <w:color w:val="000000"/>
          <w:sz w:val="24"/>
          <w:szCs w:val="24"/>
        </w:rPr>
        <w:t>：要求用真实姓名，多位作者署名一般不超过3人；多于3人者可在页下注明。</w:t>
      </w:r>
      <w:r>
        <w:rPr>
          <w:rFonts w:ascii="Arial" w:hAnsi="Arial" w:cs="Arial"/>
          <w:color w:val="000000"/>
          <w:sz w:val="24"/>
          <w:szCs w:val="24"/>
        </w:rPr>
        <w:br w:type="textWrapping"/>
      </w:r>
      <w:r>
        <w:rPr>
          <w:rFonts w:hint="eastAsia" w:ascii="Arial" w:hAnsi="Arial" w:cs="Arial"/>
          <w:b/>
          <w:bCs/>
          <w:color w:val="000000"/>
          <w:sz w:val="24"/>
          <w:szCs w:val="24"/>
        </w:rPr>
        <w:t>三、</w:t>
      </w:r>
      <w:r>
        <w:rPr>
          <w:rFonts w:ascii="Arial" w:hAnsi="Arial" w:cs="Arial"/>
          <w:b/>
          <w:bCs/>
          <w:color w:val="000000"/>
          <w:sz w:val="24"/>
          <w:szCs w:val="24"/>
        </w:rPr>
        <w:t>作者简况：</w:t>
      </w:r>
      <w:r>
        <w:rPr>
          <w:rFonts w:ascii="Arial" w:hAnsi="Arial" w:cs="Arial"/>
          <w:color w:val="000000"/>
          <w:sz w:val="24"/>
          <w:szCs w:val="24"/>
        </w:rPr>
        <w:t>包括作者单位全称、所在</w:t>
      </w:r>
      <w:r>
        <w:rPr>
          <w:rFonts w:hint="eastAsia" w:ascii="Arial" w:hAnsi="Arial" w:cs="Arial"/>
          <w:color w:val="000000"/>
          <w:sz w:val="24"/>
          <w:szCs w:val="24"/>
        </w:rPr>
        <w:t>省</w:t>
      </w:r>
      <w:r>
        <w:rPr>
          <w:rFonts w:ascii="Arial" w:hAnsi="Arial" w:cs="Arial"/>
          <w:color w:val="000000"/>
          <w:sz w:val="24"/>
          <w:szCs w:val="24"/>
        </w:rPr>
        <w:t>市、邮编、性别、年龄、职称(或职务)及所从事的工作或研究方向。</w:t>
      </w:r>
      <w:r>
        <w:rPr>
          <w:rFonts w:hint="eastAsia" w:ascii="Arial" w:hAnsi="Arial" w:cs="Arial"/>
          <w:color w:val="000000"/>
          <w:sz w:val="24"/>
          <w:szCs w:val="24"/>
        </w:rPr>
        <w:t>“基金项目”放在首页页脚（word 中操作：插入“脚注和尾注”），给出项目编号。</w:t>
      </w:r>
    </w:p>
    <w:p>
      <w:pPr>
        <w:spacing w:line="360" w:lineRule="auto"/>
        <w:jc w:val="left"/>
        <w:rPr>
          <w:rFonts w:ascii="Arial" w:hAnsi="Arial" w:cs="Arial"/>
          <w:color w:val="000000"/>
          <w:sz w:val="24"/>
          <w:szCs w:val="24"/>
        </w:rPr>
      </w:pPr>
      <w:r>
        <w:rPr>
          <w:rFonts w:hint="eastAsia" w:ascii="Arial" w:hAnsi="Arial" w:cs="Arial"/>
          <w:b/>
          <w:bCs/>
          <w:color w:val="000000"/>
          <w:sz w:val="24"/>
          <w:szCs w:val="24"/>
        </w:rPr>
        <w:t>四、</w:t>
      </w:r>
      <w:r>
        <w:rPr>
          <w:rFonts w:ascii="Arial" w:hAnsi="Arial" w:cs="Arial"/>
          <w:b/>
          <w:bCs/>
          <w:color w:val="000000"/>
          <w:sz w:val="24"/>
          <w:szCs w:val="24"/>
        </w:rPr>
        <w:t>中文摘要：</w:t>
      </w:r>
      <w:r>
        <w:rPr>
          <w:rFonts w:ascii="Arial" w:hAnsi="Arial" w:cs="Arial"/>
          <w:color w:val="000000"/>
          <w:sz w:val="24"/>
          <w:szCs w:val="24"/>
        </w:rPr>
        <w:t>一般为200～300字，用第三人称对全文内容进行准确概括，包括研究目的、方法、结论等，不用“本文”、“笔者”等主语。</w:t>
      </w:r>
      <w:r>
        <w:rPr>
          <w:rFonts w:ascii="Arial" w:hAnsi="Arial" w:cs="Arial"/>
          <w:color w:val="000000"/>
          <w:sz w:val="24"/>
          <w:szCs w:val="24"/>
        </w:rPr>
        <w:br w:type="textWrapping"/>
      </w:r>
      <w:r>
        <w:rPr>
          <w:rFonts w:hint="eastAsia" w:ascii="Arial" w:hAnsi="Arial" w:cs="Arial"/>
          <w:b/>
          <w:bCs/>
          <w:color w:val="000000"/>
          <w:sz w:val="24"/>
          <w:szCs w:val="24"/>
        </w:rPr>
        <w:t>五、</w:t>
      </w:r>
      <w:r>
        <w:rPr>
          <w:rFonts w:ascii="Arial" w:hAnsi="Arial" w:cs="Arial"/>
          <w:b/>
          <w:bCs/>
          <w:color w:val="000000"/>
          <w:sz w:val="24"/>
          <w:szCs w:val="24"/>
        </w:rPr>
        <w:t>关键词：</w:t>
      </w:r>
      <w:r>
        <w:rPr>
          <w:rFonts w:ascii="Arial" w:hAnsi="Arial" w:cs="Arial"/>
          <w:color w:val="000000"/>
          <w:sz w:val="24"/>
          <w:szCs w:val="24"/>
        </w:rPr>
        <w:t>3～</w:t>
      </w:r>
      <w:r>
        <w:rPr>
          <w:rFonts w:hint="eastAsia" w:ascii="Arial" w:hAnsi="Arial" w:cs="Arial"/>
          <w:color w:val="000000"/>
          <w:sz w:val="24"/>
          <w:szCs w:val="24"/>
        </w:rPr>
        <w:t>5</w:t>
      </w:r>
      <w:r>
        <w:rPr>
          <w:rFonts w:ascii="Arial" w:hAnsi="Arial" w:cs="Arial"/>
          <w:color w:val="000000"/>
          <w:sz w:val="24"/>
          <w:szCs w:val="24"/>
        </w:rPr>
        <w:t>个能反映文章主要内容的词或词组</w:t>
      </w:r>
      <w:r>
        <w:rPr>
          <w:rFonts w:hint="eastAsia" w:ascii="Arial" w:hAnsi="Arial" w:cs="Arial"/>
          <w:color w:val="000000"/>
          <w:sz w:val="24"/>
          <w:szCs w:val="24"/>
        </w:rPr>
        <w:t>，关键词用分号隔开</w:t>
      </w:r>
      <w:r>
        <w:rPr>
          <w:rFonts w:ascii="Arial" w:hAnsi="Arial" w:cs="Arial"/>
          <w:color w:val="000000"/>
          <w:sz w:val="24"/>
          <w:szCs w:val="24"/>
        </w:rPr>
        <w:t>。</w:t>
      </w:r>
      <w:r>
        <w:rPr>
          <w:rFonts w:ascii="Arial" w:hAnsi="Arial" w:cs="Arial"/>
          <w:color w:val="000000"/>
          <w:sz w:val="24"/>
          <w:szCs w:val="24"/>
        </w:rPr>
        <w:br w:type="textWrapping"/>
      </w:r>
      <w:r>
        <w:rPr>
          <w:rFonts w:hint="eastAsia" w:ascii="Arial" w:hAnsi="Arial" w:cs="Arial"/>
          <w:b/>
          <w:bCs/>
          <w:color w:val="000000"/>
          <w:sz w:val="24"/>
          <w:szCs w:val="24"/>
        </w:rPr>
        <w:t>六、</w:t>
      </w:r>
      <w:r>
        <w:rPr>
          <w:rFonts w:ascii="Arial" w:hAnsi="Arial" w:cs="Arial"/>
          <w:b/>
          <w:bCs/>
          <w:color w:val="000000"/>
          <w:sz w:val="24"/>
          <w:szCs w:val="24"/>
        </w:rPr>
        <w:t>正文：</w:t>
      </w:r>
      <w:r>
        <w:rPr>
          <w:rFonts w:ascii="Arial" w:hAnsi="Arial" w:cs="Arial"/>
          <w:color w:val="000000"/>
          <w:sz w:val="24"/>
          <w:szCs w:val="24"/>
        </w:rPr>
        <w:t>来稿字数视题材大小与质量，一般控制在10000字以内。标题一般分为三级，第一级标题用“一、二、三、…”表示；第二级标题 用“1. 2. 3. …”表示；第三级标题用“(1)(2)(3)…”表示。 </w:t>
      </w:r>
      <w:r>
        <w:rPr>
          <w:rFonts w:hint="eastAsia" w:ascii="Arial" w:hAnsi="Arial" w:cs="Arial"/>
          <w:color w:val="000000"/>
          <w:sz w:val="24"/>
          <w:szCs w:val="24"/>
        </w:rPr>
        <w:t>正文必要的解释说明，用上标“</w:t>
      </w:r>
      <w:r>
        <w:rPr>
          <w:rFonts w:hint="eastAsia" w:ascii="Arial" w:hAnsi="Arial" w:cs="Arial"/>
          <w:color w:val="000000"/>
          <w:sz w:val="24"/>
          <w:szCs w:val="24"/>
          <w:vertAlign w:val="superscript"/>
        </w:rPr>
        <w:t>①</w:t>
      </w:r>
      <w:r>
        <w:rPr>
          <w:rFonts w:hint="eastAsia" w:ascii="Arial" w:hAnsi="Arial" w:cs="Arial"/>
          <w:color w:val="000000"/>
          <w:sz w:val="24"/>
          <w:szCs w:val="24"/>
        </w:rPr>
        <w:t>”在文中脚注。</w:t>
      </w:r>
    </w:p>
    <w:p>
      <w:pPr>
        <w:numPr>
          <w:ilvl w:val="0"/>
          <w:numId w:val="1"/>
        </w:num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参考文献：</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参考文献的顺序按在文中出现的顺序排列。</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参考文献在正文中用上标标注，</w:t>
      </w:r>
      <w:r>
        <w:rPr>
          <w:rFonts w:hint="eastAsia"/>
        </w:rPr>
        <w:t>如：</w:t>
      </w:r>
      <w:r>
        <w:rPr>
          <w:rFonts w:hint="eastAsia"/>
          <w:sz w:val="24"/>
          <w:vertAlign w:val="superscript"/>
        </w:rPr>
        <w:t>[1]</w:t>
      </w:r>
      <w:r>
        <w:rPr>
          <w:rFonts w:hint="eastAsia"/>
          <w:sz w:val="24"/>
        </w:rPr>
        <w:t>、</w:t>
      </w:r>
      <w:r>
        <w:rPr>
          <w:rFonts w:hint="eastAsia"/>
          <w:sz w:val="24"/>
          <w:vertAlign w:val="superscript"/>
        </w:rPr>
        <w:t>[1,5,8]</w:t>
      </w:r>
      <w:r>
        <w:rPr>
          <w:rFonts w:hint="eastAsia"/>
          <w:sz w:val="24"/>
        </w:rPr>
        <w:t>、</w:t>
      </w:r>
      <w:r>
        <w:rPr>
          <w:rFonts w:hint="eastAsia"/>
          <w:sz w:val="24"/>
          <w:vertAlign w:val="superscript"/>
        </w:rPr>
        <w:t>[2-5]</w:t>
      </w:r>
      <w:r>
        <w:rPr>
          <w:rFonts w:hint="eastAsia"/>
          <w:sz w:val="24"/>
        </w:rPr>
        <w:t>，</w:t>
      </w:r>
      <w:r>
        <w:rPr>
          <w:rFonts w:hint="eastAsia" w:ascii="Arial" w:hAnsi="Arial" w:cs="Arial"/>
          <w:color w:val="000000"/>
          <w:sz w:val="24"/>
          <w:szCs w:val="24"/>
        </w:rPr>
        <w:t>标于标点符号前，并在文尾参考文献条标注引文页码。单一著作多次引用须在正文标注页码，如“</w:t>
      </w:r>
      <w:r>
        <w:rPr>
          <w:rFonts w:hint="eastAsia" w:ascii="Arial" w:hAnsi="Arial" w:cs="Arial"/>
          <w:color w:val="000000"/>
          <w:sz w:val="24"/>
          <w:szCs w:val="24"/>
          <w:vertAlign w:val="superscript"/>
        </w:rPr>
        <w:t>[1]35</w:t>
      </w:r>
      <w:r>
        <w:rPr>
          <w:rFonts w:hint="eastAsia" w:ascii="Arial" w:hAnsi="Arial" w:cs="Arial"/>
          <w:color w:val="000000"/>
          <w:sz w:val="24"/>
          <w:szCs w:val="24"/>
        </w:rPr>
        <w:t>”，参考文献处则无需再标注页码。</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不能一行结束的文献条目，续行缩进、与第一行序号后的文字开头对齐；文字与序号间空一格。</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人名一律姓前，名后，外国名的姓用全称，名可缩写为首字母(大写)，不加缩写点，姓与名之间空格即可(见后文样张[7]、[8]、[9])。</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参考文献中作者为3人或少于3人应全部列出，3人以上只列出前3人，后加“，等”或“，et al”。</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未出版，非正式、非公开出版的书、刊等不能作为参考文献。</w:t>
      </w:r>
    </w:p>
    <w:p>
      <w:pPr>
        <w:numPr>
          <w:ilvl w:val="0"/>
          <w:numId w:val="2"/>
        </w:num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文献类型和标志代码见表1，电子文献载体和标志代码见表2。</w:t>
      </w:r>
    </w:p>
    <w:p>
      <w:pPr>
        <w:pStyle w:val="3"/>
        <w:jc w:val="center"/>
        <w:rPr>
          <w:rFonts w:hint="eastAsia"/>
        </w:rPr>
      </w:pPr>
      <w:r>
        <w:rPr>
          <w:rFonts w:hint="eastAsia" w:ascii="黑体" w:eastAsia="黑体"/>
        </w:rPr>
        <w:t>表1  文献类型和标志代码</w:t>
      </w:r>
    </w:p>
    <w:tbl>
      <w:tblPr>
        <w:tblStyle w:val="8"/>
        <w:tblW w:w="88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6"/>
        <w:gridCol w:w="703"/>
        <w:gridCol w:w="836"/>
        <w:gridCol w:w="590"/>
        <w:gridCol w:w="613"/>
        <w:gridCol w:w="614"/>
        <w:gridCol w:w="613"/>
        <w:gridCol w:w="614"/>
        <w:gridCol w:w="613"/>
        <w:gridCol w:w="613"/>
        <w:gridCol w:w="761"/>
        <w:gridCol w:w="1000"/>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666" w:type="dxa"/>
            <w:noWrap w:val="0"/>
            <w:vAlign w:val="center"/>
          </w:tcPr>
          <w:p>
            <w:pPr>
              <w:pStyle w:val="3"/>
              <w:jc w:val="center"/>
              <w:rPr>
                <w:rFonts w:hint="eastAsia"/>
                <w:sz w:val="18"/>
              </w:rPr>
            </w:pPr>
            <w:r>
              <w:rPr>
                <w:rFonts w:hint="eastAsia"/>
                <w:sz w:val="18"/>
              </w:rPr>
              <w:t>文献</w:t>
            </w:r>
          </w:p>
          <w:p>
            <w:pPr>
              <w:pStyle w:val="3"/>
              <w:jc w:val="center"/>
              <w:rPr>
                <w:rFonts w:hint="eastAsia"/>
                <w:sz w:val="18"/>
              </w:rPr>
            </w:pPr>
            <w:r>
              <w:rPr>
                <w:rFonts w:hint="eastAsia"/>
                <w:sz w:val="18"/>
              </w:rPr>
              <w:t>类型</w:t>
            </w:r>
          </w:p>
        </w:tc>
        <w:tc>
          <w:tcPr>
            <w:tcW w:w="703" w:type="dxa"/>
            <w:noWrap w:val="0"/>
            <w:vAlign w:val="center"/>
          </w:tcPr>
          <w:p>
            <w:pPr>
              <w:pStyle w:val="3"/>
              <w:ind w:left="36"/>
              <w:jc w:val="center"/>
              <w:rPr>
                <w:rFonts w:hint="eastAsia"/>
                <w:sz w:val="18"/>
              </w:rPr>
            </w:pPr>
            <w:r>
              <w:rPr>
                <w:rFonts w:hint="eastAsia"/>
                <w:sz w:val="18"/>
              </w:rPr>
              <w:t>普通图书</w:t>
            </w:r>
          </w:p>
        </w:tc>
        <w:tc>
          <w:tcPr>
            <w:tcW w:w="836" w:type="dxa"/>
            <w:noWrap w:val="0"/>
            <w:vAlign w:val="center"/>
          </w:tcPr>
          <w:p>
            <w:pPr>
              <w:pStyle w:val="3"/>
              <w:jc w:val="center"/>
              <w:rPr>
                <w:rFonts w:hint="eastAsia"/>
                <w:sz w:val="18"/>
              </w:rPr>
            </w:pPr>
            <w:r>
              <w:rPr>
                <w:rFonts w:hint="eastAsia"/>
                <w:sz w:val="18"/>
              </w:rPr>
              <w:t>论文集</w:t>
            </w:r>
          </w:p>
        </w:tc>
        <w:tc>
          <w:tcPr>
            <w:tcW w:w="590" w:type="dxa"/>
            <w:noWrap w:val="0"/>
            <w:vAlign w:val="center"/>
          </w:tcPr>
          <w:p>
            <w:pPr>
              <w:pStyle w:val="3"/>
              <w:jc w:val="center"/>
              <w:rPr>
                <w:rFonts w:hint="eastAsia"/>
                <w:sz w:val="18"/>
              </w:rPr>
            </w:pPr>
            <w:r>
              <w:rPr>
                <w:rFonts w:hint="eastAsia"/>
                <w:sz w:val="18"/>
              </w:rPr>
              <w:t>报纸</w:t>
            </w:r>
          </w:p>
        </w:tc>
        <w:tc>
          <w:tcPr>
            <w:tcW w:w="613" w:type="dxa"/>
            <w:noWrap w:val="0"/>
            <w:vAlign w:val="center"/>
          </w:tcPr>
          <w:p>
            <w:pPr>
              <w:pStyle w:val="3"/>
              <w:jc w:val="center"/>
              <w:rPr>
                <w:rFonts w:hint="eastAsia"/>
                <w:sz w:val="18"/>
              </w:rPr>
            </w:pPr>
            <w:r>
              <w:rPr>
                <w:rFonts w:hint="eastAsia"/>
                <w:sz w:val="18"/>
              </w:rPr>
              <w:t>期刊</w:t>
            </w:r>
          </w:p>
        </w:tc>
        <w:tc>
          <w:tcPr>
            <w:tcW w:w="614" w:type="dxa"/>
            <w:noWrap w:val="0"/>
            <w:vAlign w:val="center"/>
          </w:tcPr>
          <w:p>
            <w:pPr>
              <w:pStyle w:val="3"/>
              <w:jc w:val="center"/>
              <w:rPr>
                <w:rFonts w:hint="eastAsia"/>
                <w:sz w:val="18"/>
              </w:rPr>
            </w:pPr>
            <w:r>
              <w:rPr>
                <w:rFonts w:hint="eastAsia"/>
                <w:sz w:val="18"/>
              </w:rPr>
              <w:t>学位</w:t>
            </w:r>
          </w:p>
          <w:p>
            <w:pPr>
              <w:pStyle w:val="3"/>
              <w:jc w:val="center"/>
              <w:rPr>
                <w:rFonts w:hint="eastAsia"/>
                <w:sz w:val="18"/>
              </w:rPr>
            </w:pPr>
            <w:r>
              <w:rPr>
                <w:rFonts w:hint="eastAsia"/>
                <w:sz w:val="18"/>
              </w:rPr>
              <w:t>论文</w:t>
            </w:r>
          </w:p>
        </w:tc>
        <w:tc>
          <w:tcPr>
            <w:tcW w:w="613" w:type="dxa"/>
            <w:noWrap w:val="0"/>
            <w:vAlign w:val="center"/>
          </w:tcPr>
          <w:p>
            <w:pPr>
              <w:pStyle w:val="3"/>
              <w:jc w:val="center"/>
              <w:rPr>
                <w:rFonts w:hint="eastAsia"/>
                <w:sz w:val="18"/>
              </w:rPr>
            </w:pPr>
            <w:r>
              <w:rPr>
                <w:rFonts w:hint="eastAsia"/>
                <w:sz w:val="18"/>
              </w:rPr>
              <w:t>汇编</w:t>
            </w:r>
          </w:p>
        </w:tc>
        <w:tc>
          <w:tcPr>
            <w:tcW w:w="614" w:type="dxa"/>
            <w:noWrap w:val="0"/>
            <w:vAlign w:val="center"/>
          </w:tcPr>
          <w:p>
            <w:pPr>
              <w:pStyle w:val="3"/>
              <w:jc w:val="center"/>
              <w:rPr>
                <w:rFonts w:hint="eastAsia"/>
                <w:sz w:val="18"/>
              </w:rPr>
            </w:pPr>
            <w:r>
              <w:rPr>
                <w:rFonts w:hint="eastAsia"/>
                <w:sz w:val="18"/>
              </w:rPr>
              <w:t>专利</w:t>
            </w:r>
          </w:p>
        </w:tc>
        <w:tc>
          <w:tcPr>
            <w:tcW w:w="613" w:type="dxa"/>
            <w:noWrap w:val="0"/>
            <w:vAlign w:val="center"/>
          </w:tcPr>
          <w:p>
            <w:pPr>
              <w:pStyle w:val="3"/>
              <w:jc w:val="center"/>
              <w:rPr>
                <w:rFonts w:hint="eastAsia"/>
                <w:sz w:val="18"/>
              </w:rPr>
            </w:pPr>
            <w:r>
              <w:rPr>
                <w:rFonts w:hint="eastAsia"/>
                <w:sz w:val="18"/>
              </w:rPr>
              <w:t>标准</w:t>
            </w:r>
          </w:p>
        </w:tc>
        <w:tc>
          <w:tcPr>
            <w:tcW w:w="613" w:type="dxa"/>
            <w:noWrap w:val="0"/>
            <w:vAlign w:val="center"/>
          </w:tcPr>
          <w:p>
            <w:pPr>
              <w:pStyle w:val="3"/>
              <w:jc w:val="center"/>
              <w:rPr>
                <w:rFonts w:hint="eastAsia"/>
                <w:sz w:val="18"/>
              </w:rPr>
            </w:pPr>
            <w:r>
              <w:rPr>
                <w:rFonts w:hint="eastAsia"/>
                <w:sz w:val="18"/>
              </w:rPr>
              <w:t>报告</w:t>
            </w:r>
          </w:p>
        </w:tc>
        <w:tc>
          <w:tcPr>
            <w:tcW w:w="761" w:type="dxa"/>
            <w:noWrap w:val="0"/>
            <w:vAlign w:val="center"/>
          </w:tcPr>
          <w:p>
            <w:pPr>
              <w:pStyle w:val="3"/>
              <w:jc w:val="center"/>
              <w:rPr>
                <w:rFonts w:hint="eastAsia"/>
                <w:sz w:val="18"/>
              </w:rPr>
            </w:pPr>
            <w:r>
              <w:rPr>
                <w:rFonts w:hint="eastAsia"/>
                <w:sz w:val="18"/>
              </w:rPr>
              <w:t>数据库</w:t>
            </w:r>
          </w:p>
        </w:tc>
        <w:tc>
          <w:tcPr>
            <w:tcW w:w="1000" w:type="dxa"/>
            <w:noWrap w:val="0"/>
            <w:vAlign w:val="center"/>
          </w:tcPr>
          <w:p>
            <w:pPr>
              <w:pStyle w:val="3"/>
              <w:jc w:val="center"/>
              <w:rPr>
                <w:rFonts w:hint="eastAsia"/>
                <w:sz w:val="18"/>
              </w:rPr>
            </w:pPr>
            <w:r>
              <w:rPr>
                <w:rFonts w:hint="eastAsia"/>
                <w:sz w:val="18"/>
              </w:rPr>
              <w:t>计算机</w:t>
            </w:r>
          </w:p>
          <w:p>
            <w:pPr>
              <w:pStyle w:val="3"/>
              <w:jc w:val="center"/>
              <w:rPr>
                <w:rFonts w:hint="eastAsia"/>
                <w:sz w:val="18"/>
              </w:rPr>
            </w:pPr>
            <w:r>
              <w:rPr>
                <w:rFonts w:hint="eastAsia"/>
                <w:sz w:val="18"/>
              </w:rPr>
              <w:t>程序</w:t>
            </w:r>
          </w:p>
        </w:tc>
        <w:tc>
          <w:tcPr>
            <w:tcW w:w="614" w:type="dxa"/>
            <w:noWrap w:val="0"/>
            <w:vAlign w:val="center"/>
          </w:tcPr>
          <w:p>
            <w:pPr>
              <w:pStyle w:val="3"/>
              <w:jc w:val="center"/>
              <w:rPr>
                <w:rFonts w:hint="eastAsia"/>
                <w:sz w:val="18"/>
              </w:rPr>
            </w:pPr>
            <w:r>
              <w:rPr>
                <w:rFonts w:hint="eastAsia"/>
                <w:sz w:val="18"/>
              </w:rPr>
              <w:t>电子公告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jc w:val="center"/>
        </w:trPr>
        <w:tc>
          <w:tcPr>
            <w:tcW w:w="666" w:type="dxa"/>
            <w:noWrap w:val="0"/>
            <w:vAlign w:val="center"/>
          </w:tcPr>
          <w:p>
            <w:pPr>
              <w:pStyle w:val="3"/>
              <w:jc w:val="center"/>
              <w:rPr>
                <w:rFonts w:hint="eastAsia"/>
                <w:sz w:val="18"/>
              </w:rPr>
            </w:pPr>
            <w:r>
              <w:rPr>
                <w:rFonts w:hint="eastAsia"/>
                <w:sz w:val="18"/>
              </w:rPr>
              <w:t>标志</w:t>
            </w:r>
          </w:p>
          <w:p>
            <w:pPr>
              <w:pStyle w:val="3"/>
              <w:jc w:val="center"/>
              <w:rPr>
                <w:rFonts w:hint="eastAsia"/>
                <w:sz w:val="18"/>
              </w:rPr>
            </w:pPr>
            <w:r>
              <w:rPr>
                <w:rFonts w:hint="eastAsia"/>
                <w:sz w:val="18"/>
              </w:rPr>
              <w:t>代码</w:t>
            </w:r>
          </w:p>
        </w:tc>
        <w:tc>
          <w:tcPr>
            <w:tcW w:w="703" w:type="dxa"/>
            <w:noWrap w:val="0"/>
            <w:vAlign w:val="center"/>
          </w:tcPr>
          <w:p>
            <w:pPr>
              <w:pStyle w:val="3"/>
              <w:jc w:val="center"/>
              <w:rPr>
                <w:rFonts w:hint="eastAsia"/>
              </w:rPr>
            </w:pPr>
            <w:r>
              <w:rPr>
                <w:rFonts w:hint="eastAsia"/>
              </w:rPr>
              <w:t>M</w:t>
            </w:r>
          </w:p>
        </w:tc>
        <w:tc>
          <w:tcPr>
            <w:tcW w:w="836" w:type="dxa"/>
            <w:tcBorders>
              <w:bottom w:val="single" w:color="auto" w:sz="4" w:space="0"/>
            </w:tcBorders>
            <w:noWrap w:val="0"/>
            <w:vAlign w:val="center"/>
          </w:tcPr>
          <w:p>
            <w:pPr>
              <w:pStyle w:val="3"/>
              <w:jc w:val="center"/>
              <w:rPr>
                <w:rFonts w:hint="eastAsia"/>
              </w:rPr>
            </w:pPr>
            <w:r>
              <w:rPr>
                <w:rFonts w:hint="eastAsia"/>
              </w:rPr>
              <w:t>C</w:t>
            </w:r>
          </w:p>
        </w:tc>
        <w:tc>
          <w:tcPr>
            <w:tcW w:w="590" w:type="dxa"/>
            <w:tcBorders>
              <w:bottom w:val="single" w:color="auto" w:sz="4" w:space="0"/>
            </w:tcBorders>
            <w:noWrap w:val="0"/>
            <w:vAlign w:val="center"/>
          </w:tcPr>
          <w:p>
            <w:pPr>
              <w:pStyle w:val="3"/>
              <w:jc w:val="center"/>
              <w:rPr>
                <w:rFonts w:hint="eastAsia"/>
              </w:rPr>
            </w:pPr>
            <w:r>
              <w:rPr>
                <w:rFonts w:hint="eastAsia"/>
              </w:rPr>
              <w:t>N</w:t>
            </w:r>
          </w:p>
        </w:tc>
        <w:tc>
          <w:tcPr>
            <w:tcW w:w="613" w:type="dxa"/>
            <w:tcBorders>
              <w:bottom w:val="single" w:color="auto" w:sz="4" w:space="0"/>
            </w:tcBorders>
            <w:noWrap w:val="0"/>
            <w:vAlign w:val="center"/>
          </w:tcPr>
          <w:p>
            <w:pPr>
              <w:pStyle w:val="3"/>
              <w:jc w:val="center"/>
              <w:rPr>
                <w:rFonts w:hint="eastAsia"/>
              </w:rPr>
            </w:pPr>
            <w:r>
              <w:rPr>
                <w:rFonts w:hint="eastAsia"/>
              </w:rPr>
              <w:t>J</w:t>
            </w:r>
          </w:p>
        </w:tc>
        <w:tc>
          <w:tcPr>
            <w:tcW w:w="614" w:type="dxa"/>
            <w:tcBorders>
              <w:bottom w:val="single" w:color="auto" w:sz="4" w:space="0"/>
            </w:tcBorders>
            <w:noWrap w:val="0"/>
            <w:vAlign w:val="center"/>
          </w:tcPr>
          <w:p>
            <w:pPr>
              <w:pStyle w:val="3"/>
              <w:jc w:val="center"/>
              <w:rPr>
                <w:rFonts w:hint="eastAsia"/>
              </w:rPr>
            </w:pPr>
            <w:r>
              <w:rPr>
                <w:rFonts w:hint="eastAsia"/>
              </w:rPr>
              <w:t>D</w:t>
            </w:r>
          </w:p>
        </w:tc>
        <w:tc>
          <w:tcPr>
            <w:tcW w:w="613" w:type="dxa"/>
            <w:tcBorders>
              <w:bottom w:val="single" w:color="auto" w:sz="4" w:space="0"/>
            </w:tcBorders>
            <w:noWrap w:val="0"/>
            <w:vAlign w:val="center"/>
          </w:tcPr>
          <w:p>
            <w:pPr>
              <w:pStyle w:val="3"/>
              <w:jc w:val="center"/>
              <w:rPr>
                <w:rFonts w:hint="eastAsia"/>
              </w:rPr>
            </w:pPr>
            <w:r>
              <w:rPr>
                <w:rFonts w:hint="eastAsia"/>
              </w:rPr>
              <w:t>G</w:t>
            </w:r>
          </w:p>
        </w:tc>
        <w:tc>
          <w:tcPr>
            <w:tcW w:w="614" w:type="dxa"/>
            <w:tcBorders>
              <w:bottom w:val="single" w:color="auto" w:sz="4" w:space="0"/>
            </w:tcBorders>
            <w:noWrap w:val="0"/>
            <w:vAlign w:val="center"/>
          </w:tcPr>
          <w:p>
            <w:pPr>
              <w:pStyle w:val="3"/>
              <w:jc w:val="center"/>
              <w:rPr>
                <w:rFonts w:hint="eastAsia"/>
              </w:rPr>
            </w:pPr>
            <w:r>
              <w:rPr>
                <w:rFonts w:hint="eastAsia"/>
              </w:rPr>
              <w:t>P</w:t>
            </w:r>
          </w:p>
        </w:tc>
        <w:tc>
          <w:tcPr>
            <w:tcW w:w="613" w:type="dxa"/>
            <w:tcBorders>
              <w:bottom w:val="single" w:color="auto" w:sz="4" w:space="0"/>
            </w:tcBorders>
            <w:noWrap w:val="0"/>
            <w:vAlign w:val="center"/>
          </w:tcPr>
          <w:p>
            <w:pPr>
              <w:pStyle w:val="3"/>
              <w:jc w:val="center"/>
              <w:rPr>
                <w:rFonts w:hint="eastAsia"/>
              </w:rPr>
            </w:pPr>
            <w:r>
              <w:rPr>
                <w:rFonts w:hint="eastAsia"/>
              </w:rPr>
              <w:t>S</w:t>
            </w:r>
          </w:p>
        </w:tc>
        <w:tc>
          <w:tcPr>
            <w:tcW w:w="613" w:type="dxa"/>
            <w:tcBorders>
              <w:bottom w:val="single" w:color="auto" w:sz="4" w:space="0"/>
            </w:tcBorders>
            <w:noWrap w:val="0"/>
            <w:vAlign w:val="center"/>
          </w:tcPr>
          <w:p>
            <w:pPr>
              <w:pStyle w:val="3"/>
              <w:jc w:val="center"/>
              <w:rPr>
                <w:rFonts w:hint="eastAsia"/>
              </w:rPr>
            </w:pPr>
            <w:r>
              <w:rPr>
                <w:rFonts w:hint="eastAsia"/>
              </w:rPr>
              <w:t>R</w:t>
            </w:r>
          </w:p>
        </w:tc>
        <w:tc>
          <w:tcPr>
            <w:tcW w:w="761" w:type="dxa"/>
            <w:tcBorders>
              <w:bottom w:val="single" w:color="auto" w:sz="4" w:space="0"/>
            </w:tcBorders>
            <w:noWrap w:val="0"/>
            <w:vAlign w:val="center"/>
          </w:tcPr>
          <w:p>
            <w:pPr>
              <w:pStyle w:val="3"/>
              <w:jc w:val="center"/>
              <w:rPr>
                <w:rFonts w:hint="eastAsia"/>
              </w:rPr>
            </w:pPr>
            <w:r>
              <w:rPr>
                <w:rFonts w:hint="eastAsia"/>
              </w:rPr>
              <w:t>DB</w:t>
            </w:r>
          </w:p>
        </w:tc>
        <w:tc>
          <w:tcPr>
            <w:tcW w:w="1000" w:type="dxa"/>
            <w:tcBorders>
              <w:bottom w:val="single" w:color="auto" w:sz="4" w:space="0"/>
            </w:tcBorders>
            <w:noWrap w:val="0"/>
            <w:vAlign w:val="center"/>
          </w:tcPr>
          <w:p>
            <w:pPr>
              <w:pStyle w:val="3"/>
              <w:jc w:val="center"/>
              <w:rPr>
                <w:rFonts w:hint="eastAsia"/>
              </w:rPr>
            </w:pPr>
            <w:r>
              <w:rPr>
                <w:rFonts w:hint="eastAsia"/>
              </w:rPr>
              <w:t>CP</w:t>
            </w:r>
          </w:p>
        </w:tc>
        <w:tc>
          <w:tcPr>
            <w:tcW w:w="614" w:type="dxa"/>
            <w:tcBorders>
              <w:bottom w:val="single" w:color="auto" w:sz="4" w:space="0"/>
            </w:tcBorders>
            <w:noWrap w:val="0"/>
            <w:vAlign w:val="center"/>
          </w:tcPr>
          <w:p>
            <w:pPr>
              <w:pStyle w:val="3"/>
              <w:jc w:val="center"/>
              <w:rPr>
                <w:rFonts w:hint="eastAsia"/>
              </w:rPr>
            </w:pPr>
            <w:r>
              <w:rPr>
                <w:rFonts w:hint="eastAsia"/>
              </w:rPr>
              <w:t>EB</w:t>
            </w:r>
          </w:p>
        </w:tc>
      </w:tr>
    </w:tbl>
    <w:p>
      <w:pPr>
        <w:pStyle w:val="3"/>
        <w:jc w:val="center"/>
        <w:rPr>
          <w:rFonts w:hint="eastAsia" w:ascii="黑体" w:eastAsia="黑体"/>
        </w:rPr>
      </w:pPr>
      <w:r>
        <w:rPr>
          <w:rFonts w:hint="eastAsia" w:ascii="黑体" w:eastAsia="黑体"/>
        </w:rPr>
        <w:t>表2  电子文献载体和标志代码</w:t>
      </w:r>
    </w:p>
    <w:tbl>
      <w:tblPr>
        <w:tblStyle w:val="8"/>
        <w:tblW w:w="88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2"/>
        <w:gridCol w:w="2123"/>
        <w:gridCol w:w="1836"/>
        <w:gridCol w:w="1799"/>
        <w:gridCol w:w="16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442" w:type="dxa"/>
            <w:noWrap w:val="0"/>
            <w:vAlign w:val="center"/>
          </w:tcPr>
          <w:p>
            <w:pPr>
              <w:pStyle w:val="3"/>
              <w:jc w:val="center"/>
              <w:rPr>
                <w:rFonts w:hint="eastAsia"/>
                <w:sz w:val="18"/>
              </w:rPr>
            </w:pPr>
            <w:r>
              <w:rPr>
                <w:rFonts w:hint="eastAsia"/>
                <w:sz w:val="18"/>
              </w:rPr>
              <w:t>载体类型</w:t>
            </w:r>
          </w:p>
        </w:tc>
        <w:tc>
          <w:tcPr>
            <w:tcW w:w="2123" w:type="dxa"/>
            <w:noWrap w:val="0"/>
            <w:vAlign w:val="center"/>
          </w:tcPr>
          <w:p>
            <w:pPr>
              <w:pStyle w:val="3"/>
              <w:jc w:val="center"/>
              <w:rPr>
                <w:rFonts w:hint="eastAsia"/>
                <w:sz w:val="18"/>
              </w:rPr>
            </w:pPr>
            <w:r>
              <w:rPr>
                <w:rFonts w:hint="eastAsia"/>
                <w:sz w:val="18"/>
              </w:rPr>
              <w:t>磁带</w:t>
            </w:r>
          </w:p>
          <w:p>
            <w:pPr>
              <w:pStyle w:val="3"/>
              <w:jc w:val="center"/>
              <w:rPr>
                <w:rFonts w:hint="eastAsia"/>
                <w:sz w:val="18"/>
              </w:rPr>
            </w:pPr>
            <w:r>
              <w:rPr>
                <w:rFonts w:hint="eastAsia"/>
                <w:sz w:val="18"/>
              </w:rPr>
              <w:t>（magnetic tape）</w:t>
            </w:r>
          </w:p>
        </w:tc>
        <w:tc>
          <w:tcPr>
            <w:tcW w:w="1836" w:type="dxa"/>
            <w:noWrap w:val="0"/>
            <w:vAlign w:val="center"/>
          </w:tcPr>
          <w:p>
            <w:pPr>
              <w:pStyle w:val="3"/>
              <w:jc w:val="center"/>
              <w:rPr>
                <w:rFonts w:hint="eastAsia"/>
                <w:sz w:val="18"/>
              </w:rPr>
            </w:pPr>
            <w:r>
              <w:rPr>
                <w:rFonts w:hint="eastAsia"/>
                <w:sz w:val="18"/>
              </w:rPr>
              <w:t>磁盘（disk）</w:t>
            </w:r>
          </w:p>
        </w:tc>
        <w:tc>
          <w:tcPr>
            <w:tcW w:w="1799" w:type="dxa"/>
            <w:noWrap w:val="0"/>
            <w:vAlign w:val="center"/>
          </w:tcPr>
          <w:p>
            <w:pPr>
              <w:pStyle w:val="3"/>
              <w:jc w:val="center"/>
              <w:rPr>
                <w:rFonts w:hint="eastAsia"/>
                <w:sz w:val="18"/>
              </w:rPr>
            </w:pPr>
            <w:r>
              <w:rPr>
                <w:rFonts w:hint="eastAsia"/>
                <w:sz w:val="18"/>
              </w:rPr>
              <w:t>光盘（CD-ROM）</w:t>
            </w:r>
          </w:p>
        </w:tc>
        <w:tc>
          <w:tcPr>
            <w:tcW w:w="1619" w:type="dxa"/>
            <w:noWrap w:val="0"/>
            <w:vAlign w:val="center"/>
          </w:tcPr>
          <w:p>
            <w:pPr>
              <w:pStyle w:val="3"/>
              <w:ind w:left="-143" w:leftChars="-499" w:right="-462" w:rightChars="-220" w:hanging="905" w:hangingChars="503"/>
              <w:jc w:val="center"/>
              <w:rPr>
                <w:rFonts w:hint="eastAsia"/>
                <w:sz w:val="18"/>
              </w:rPr>
            </w:pPr>
            <w:r>
              <w:rPr>
                <w:rFonts w:hint="eastAsia"/>
                <w:sz w:val="18"/>
              </w:rPr>
              <w:t>联机网络</w:t>
            </w:r>
          </w:p>
          <w:p>
            <w:pPr>
              <w:pStyle w:val="3"/>
              <w:ind w:right="-462" w:rightChars="-220"/>
              <w:jc w:val="center"/>
              <w:rPr>
                <w:rFonts w:hint="eastAsia"/>
                <w:sz w:val="18"/>
              </w:rPr>
            </w:pPr>
            <w:r>
              <w:rPr>
                <w:rFonts w:hint="eastAsia"/>
                <w:sz w:val="18"/>
              </w:rPr>
              <w:t>（online）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1442" w:type="dxa"/>
            <w:noWrap w:val="0"/>
            <w:vAlign w:val="center"/>
          </w:tcPr>
          <w:p>
            <w:pPr>
              <w:pStyle w:val="3"/>
              <w:jc w:val="center"/>
              <w:rPr>
                <w:rFonts w:hint="eastAsia"/>
                <w:sz w:val="18"/>
              </w:rPr>
            </w:pPr>
            <w:r>
              <w:rPr>
                <w:rFonts w:hint="eastAsia"/>
                <w:sz w:val="18"/>
              </w:rPr>
              <w:t>标志代码</w:t>
            </w:r>
          </w:p>
        </w:tc>
        <w:tc>
          <w:tcPr>
            <w:tcW w:w="2123" w:type="dxa"/>
            <w:noWrap w:val="0"/>
            <w:vAlign w:val="center"/>
          </w:tcPr>
          <w:p>
            <w:pPr>
              <w:pStyle w:val="3"/>
              <w:jc w:val="center"/>
              <w:rPr>
                <w:rFonts w:hint="eastAsia"/>
                <w:sz w:val="18"/>
              </w:rPr>
            </w:pPr>
            <w:r>
              <w:rPr>
                <w:rFonts w:hint="eastAsia"/>
                <w:sz w:val="18"/>
              </w:rPr>
              <w:t>MT</w:t>
            </w:r>
          </w:p>
        </w:tc>
        <w:tc>
          <w:tcPr>
            <w:tcW w:w="1836" w:type="dxa"/>
            <w:noWrap w:val="0"/>
            <w:vAlign w:val="center"/>
          </w:tcPr>
          <w:p>
            <w:pPr>
              <w:pStyle w:val="3"/>
              <w:jc w:val="center"/>
              <w:rPr>
                <w:rFonts w:hint="eastAsia"/>
                <w:sz w:val="18"/>
              </w:rPr>
            </w:pPr>
            <w:r>
              <w:rPr>
                <w:rFonts w:hint="eastAsia"/>
                <w:sz w:val="18"/>
              </w:rPr>
              <w:t>DK</w:t>
            </w:r>
          </w:p>
        </w:tc>
        <w:tc>
          <w:tcPr>
            <w:tcW w:w="1799" w:type="dxa"/>
            <w:noWrap w:val="0"/>
            <w:vAlign w:val="center"/>
          </w:tcPr>
          <w:p>
            <w:pPr>
              <w:pStyle w:val="3"/>
              <w:jc w:val="center"/>
              <w:rPr>
                <w:rFonts w:hint="eastAsia"/>
                <w:sz w:val="18"/>
              </w:rPr>
            </w:pPr>
            <w:r>
              <w:rPr>
                <w:rFonts w:hint="eastAsia"/>
                <w:sz w:val="18"/>
              </w:rPr>
              <w:t>CD</w:t>
            </w:r>
          </w:p>
        </w:tc>
        <w:tc>
          <w:tcPr>
            <w:tcW w:w="1619" w:type="dxa"/>
            <w:noWrap w:val="0"/>
            <w:vAlign w:val="center"/>
          </w:tcPr>
          <w:p>
            <w:pPr>
              <w:pStyle w:val="3"/>
              <w:jc w:val="center"/>
              <w:rPr>
                <w:rFonts w:hint="eastAsia"/>
                <w:sz w:val="18"/>
              </w:rPr>
            </w:pPr>
            <w:r>
              <w:rPr>
                <w:rFonts w:hint="eastAsia"/>
                <w:sz w:val="18"/>
              </w:rPr>
              <w:t>OL</w:t>
            </w:r>
          </w:p>
        </w:tc>
      </w:tr>
    </w:tbl>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八、整篇文档段落设置：</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1.间距：一级标题段前间距为0.8行、段后为0.5行，其它段前0行，段0行；行距：固定值，20磅。</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2.选中“如果定义了文档网格，则自动调整右缩进”和“如果定义了文档网格，则与网格对齐”。</w:t>
      </w:r>
    </w:p>
    <w:p>
      <w:pPr>
        <w:spacing w:line="360" w:lineRule="auto"/>
        <w:ind w:firstLine="420"/>
        <w:jc w:val="left"/>
        <w:rPr>
          <w:rFonts w:ascii="Arial" w:hAnsi="Arial" w:cs="Arial"/>
          <w:color w:val="000000"/>
          <w:sz w:val="24"/>
          <w:szCs w:val="24"/>
        </w:rPr>
      </w:pPr>
      <w:r>
        <w:rPr>
          <w:rFonts w:hint="eastAsia" w:ascii="Arial" w:hAnsi="Arial" w:cs="Arial"/>
          <w:color w:val="000000"/>
          <w:sz w:val="24"/>
          <w:szCs w:val="24"/>
        </w:rPr>
        <w:t>3.单位与摘要间、关键词与正文间、正文与参考文献间空1行；图、表前后空1行；各级标题前后不空行。</w:t>
      </w:r>
    </w:p>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九、字体和字号：</w:t>
      </w:r>
      <w:r>
        <w:rPr>
          <w:rFonts w:hint="eastAsia" w:ascii="Arial" w:hAnsi="Arial" w:cs="Arial"/>
          <w:color w:val="000000"/>
          <w:sz w:val="24"/>
          <w:szCs w:val="24"/>
        </w:rPr>
        <w:t>见后文“格式样张”红色标示部分。</w:t>
      </w:r>
    </w:p>
    <w:p>
      <w:pPr>
        <w:spacing w:line="360" w:lineRule="auto"/>
        <w:jc w:val="left"/>
        <w:rPr>
          <w:rFonts w:hint="eastAsia" w:ascii="Arial" w:hAnsi="Arial" w:cs="Arial"/>
          <w:b/>
          <w:bCs/>
          <w:color w:val="000000"/>
          <w:sz w:val="24"/>
          <w:szCs w:val="24"/>
        </w:rPr>
      </w:pPr>
      <w:r>
        <w:rPr>
          <w:rFonts w:hint="eastAsia" w:ascii="Arial" w:hAnsi="Arial" w:cs="Arial"/>
          <w:b/>
          <w:bCs/>
          <w:color w:val="000000"/>
          <w:sz w:val="24"/>
          <w:szCs w:val="24"/>
        </w:rPr>
        <w:t>十、表、图、公式等格式：</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1.表格式：</w:t>
      </w:r>
      <w:r>
        <w:rPr>
          <w:rFonts w:hint="eastAsia" w:ascii="Arial" w:hAnsi="Arial" w:cs="Arial"/>
          <w:color w:val="000000"/>
          <w:sz w:val="24"/>
          <w:szCs w:val="24"/>
        </w:rPr>
        <w:t>（1）采用三线表。（2）标题位置在表格上方。（3）表序与表题之间空2 格，其间不用任何点号。（4）表身内无数字的栏内，应区别情况对待。“空白”代表未测或未发现，“—”（一字线）或“⋯”代表无此项（即客观上不存在），“0”代表实测结果为零。（5）先见文字叙述，后见表格。（6）表不要与文字混排，表单独通栏排。</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2.图格式：</w:t>
      </w:r>
      <w:r>
        <w:rPr>
          <w:rFonts w:hint="eastAsia" w:ascii="Arial" w:hAnsi="Arial" w:cs="Arial"/>
          <w:color w:val="000000"/>
          <w:sz w:val="24"/>
          <w:szCs w:val="24"/>
        </w:rPr>
        <w:t>（1）图序和图题排在图的下方，整幅图左右居中，其总体长度不超过图面的宽度；否则图题应转行排。（2）图序与图题间空2 格，其间不用任何点号。（3）几幅图形共用一个图序和图题，每幅图应有子图序，如(a)，(b)，(c)等，有时可能会有子图题。子图序和子图题置于横标目的下方，相对于横坐标轴整个居中排；有时可置于图面内空白较大的地方，每个子图序和子图题在各个图面中的位置应一致。（4）标目中，量符号与单位符号间用斜分数线（/）相隔。标目中的量符号与正文中的一致。（5）图注与说明安排在图题的上方。（6）先见文字叙述，后见图。（7）图不要与文字混排，图单独通栏排。</w:t>
      </w:r>
    </w:p>
    <w:p>
      <w:pPr>
        <w:spacing w:line="360" w:lineRule="auto"/>
        <w:ind w:firstLine="420"/>
        <w:jc w:val="left"/>
        <w:rPr>
          <w:rFonts w:hint="eastAsia" w:ascii="Arial" w:hAnsi="Arial" w:cs="Arial"/>
          <w:color w:val="000000"/>
          <w:sz w:val="24"/>
          <w:szCs w:val="24"/>
        </w:rPr>
      </w:pPr>
      <w:r>
        <w:rPr>
          <w:rFonts w:hint="eastAsia" w:ascii="Arial" w:hAnsi="Arial" w:cs="Arial"/>
          <w:b/>
          <w:bCs/>
          <w:color w:val="000000"/>
          <w:sz w:val="24"/>
          <w:szCs w:val="24"/>
        </w:rPr>
        <w:t>3.公式：</w:t>
      </w:r>
      <w:r>
        <w:rPr>
          <w:rFonts w:hint="eastAsia" w:ascii="Arial" w:hAnsi="Arial" w:cs="Arial"/>
          <w:color w:val="000000"/>
          <w:sz w:val="24"/>
          <w:szCs w:val="24"/>
        </w:rPr>
        <w:t>公式排版请用公式编辑器编排，公式需要用圆括号加数字进行连续编号，并使编号与每栏的右边线对齐，参见(1)，如</w:t>
      </w:r>
    </w:p>
    <w:p>
      <w:pPr>
        <w:spacing w:line="360" w:lineRule="auto"/>
        <w:ind w:firstLine="420"/>
        <w:jc w:val="right"/>
        <w:rPr>
          <w:rFonts w:hint="eastAsia" w:ascii="Arial" w:hAnsi="Arial" w:cs="Arial"/>
          <w:color w:val="000000"/>
          <w:sz w:val="24"/>
          <w:szCs w:val="24"/>
        </w:rPr>
      </w:pPr>
      <w:r>
        <w:rPr>
          <w:position w:val="-28"/>
          <w:szCs w:val="21"/>
        </w:rPr>
        <w:object>
          <v:shape id="_x0000_i1025" o:spt="75" type="#_x0000_t75" style="height:35.05pt;width:84.5pt;" o:ole="t" filled="f" o:preferrelative="t" stroked="f" coordsize="21600,21600">
            <v:path/>
            <v:fill on="f" focussize="0,0"/>
            <v:stroke on="f"/>
            <v:imagedata r:id="rId10" embosscolor="#FFFFFF" o:title=""/>
            <o:lock v:ext="edit" grouping="f" rotation="f" text="f" aspectratio="t"/>
            <w10:wrap type="none"/>
            <w10:anchorlock/>
          </v:shape>
          <o:OLEObject Type="Embed" ProgID="Equation.DSMT4" ShapeID="_x0000_i1025" DrawAspect="Content" ObjectID="_1468075725" r:id="rId9">
            <o:LockedField>false</o:LockedField>
          </o:OLEObject>
        </w:object>
      </w:r>
      <w:r>
        <w:rPr>
          <w:rFonts w:hint="eastAsia" w:ascii="Arial" w:hAnsi="Arial" w:cs="Arial"/>
          <w:color w:val="000000"/>
          <w:sz w:val="24"/>
          <w:szCs w:val="24"/>
        </w:rPr>
        <w:t xml:space="preserve"> (1)</w:t>
      </w:r>
    </w:p>
    <w:p>
      <w:pPr>
        <w:spacing w:line="360" w:lineRule="auto"/>
        <w:ind w:firstLine="420"/>
        <w:jc w:val="left"/>
        <w:rPr>
          <w:rFonts w:hint="eastAsia" w:ascii="Arial" w:hAnsi="Arial" w:cs="Arial"/>
          <w:color w:val="000000"/>
          <w:sz w:val="24"/>
          <w:szCs w:val="24"/>
        </w:rPr>
      </w:pPr>
      <w:r>
        <w:rPr>
          <w:rFonts w:hint="eastAsia" w:ascii="Arial" w:hAnsi="Arial" w:cs="Arial"/>
          <w:color w:val="000000"/>
          <w:sz w:val="24"/>
          <w:szCs w:val="24"/>
        </w:rPr>
        <w:t>公式中的符号要事先定义或紧接在公式下给出定义。公式中的变量须用斜体。</w:t>
      </w:r>
    </w:p>
    <w:p>
      <w:pPr>
        <w:spacing w:line="360" w:lineRule="auto"/>
        <w:jc w:val="center"/>
        <w:rPr>
          <w:rFonts w:hint="eastAsia"/>
          <w:b/>
          <w:bCs/>
          <w:sz w:val="28"/>
          <w:szCs w:val="28"/>
        </w:rPr>
      </w:pPr>
      <w:r>
        <w:rPr>
          <w:rFonts w:hint="eastAsia"/>
          <w:b/>
          <w:bCs/>
          <w:sz w:val="28"/>
          <w:szCs w:val="28"/>
        </w:rPr>
        <w:t>河海大学学报（哲学社会科学版）论文格式样张（</w:t>
      </w:r>
      <w:r>
        <w:rPr>
          <w:rFonts w:hint="eastAsia"/>
          <w:b/>
          <w:bCs/>
          <w:color w:val="FF0000"/>
          <w:sz w:val="28"/>
          <w:szCs w:val="28"/>
        </w:rPr>
        <w:t>可用格式刷</w:t>
      </w:r>
      <w:r>
        <w:rPr>
          <w:rFonts w:hint="eastAsia"/>
          <w:b/>
          <w:bCs/>
          <w:sz w:val="28"/>
          <w:szCs w:val="28"/>
        </w:rPr>
        <w:t>）</w:t>
      </w:r>
    </w:p>
    <w:p>
      <w:pPr>
        <w:spacing w:line="360" w:lineRule="auto"/>
        <w:rPr>
          <w:rFonts w:hint="eastAsia" w:ascii="黑体" w:hAnsi="黑体" w:eastAsia="黑体" w:cs="黑体"/>
          <w:b/>
          <w:sz w:val="44"/>
          <w:szCs w:val="44"/>
        </w:rPr>
      </w:pPr>
    </w:p>
    <w:p>
      <w:pPr>
        <w:spacing w:line="360" w:lineRule="auto"/>
        <w:jc w:val="center"/>
        <w:rPr>
          <w:rFonts w:hint="eastAsia" w:ascii="黑体" w:hAnsi="黑体" w:eastAsia="黑体" w:cs="黑体"/>
          <w:b/>
          <w:color w:val="FF0000"/>
          <w:sz w:val="44"/>
          <w:szCs w:val="44"/>
        </w:rPr>
      </w:pPr>
      <w:r>
        <w:rPr>
          <w:rFonts w:hint="eastAsia" w:ascii="黑体" w:hAnsi="黑体" w:eastAsia="黑体" w:cs="黑体"/>
          <w:b/>
          <w:sz w:val="44"/>
          <w:szCs w:val="44"/>
        </w:rPr>
        <w:t>“科层-合作”制下的洪灾应急管理</w:t>
      </w:r>
      <w:bookmarkStart w:id="2" w:name="OLE_LINK4"/>
      <w:r>
        <w:rPr>
          <w:rFonts w:hint="eastAsia" w:ascii="黑体" w:hAnsi="黑体" w:eastAsia="黑体" w:cs="黑体"/>
          <w:b/>
          <w:sz w:val="44"/>
          <w:szCs w:val="44"/>
        </w:rPr>
        <w:t>组织体系</w:t>
      </w:r>
      <w:bookmarkEnd w:id="0"/>
      <w:bookmarkEnd w:id="2"/>
      <w:r>
        <w:rPr>
          <w:rFonts w:hint="eastAsia" w:ascii="黑体" w:hAnsi="黑体" w:eastAsia="黑体" w:cs="黑体"/>
          <w:b/>
          <w:sz w:val="44"/>
          <w:szCs w:val="44"/>
        </w:rPr>
        <w:t>探讨</w:t>
      </w:r>
      <w:r>
        <w:rPr>
          <w:rFonts w:hint="eastAsia" w:ascii="楷体_GB2312" w:eastAsia="楷体_GB2312"/>
          <w:color w:val="FF0000"/>
          <w:szCs w:val="24"/>
        </w:rPr>
        <w:t>（标题：黑体2号，加粗，居中）</w:t>
      </w:r>
    </w:p>
    <w:p>
      <w:pPr>
        <w:spacing w:line="360" w:lineRule="auto"/>
        <w:jc w:val="center"/>
        <w:rPr>
          <w:rFonts w:hint="eastAsia" w:ascii="楷体_GB2312" w:eastAsia="楷体_GB2312"/>
          <w:szCs w:val="24"/>
        </w:rPr>
      </w:pPr>
      <w:r>
        <w:rPr>
          <w:rFonts w:hint="eastAsia" w:ascii="宋体" w:hAnsi="宋体"/>
          <w:bCs/>
          <w:sz w:val="32"/>
          <w:szCs w:val="32"/>
        </w:rPr>
        <w:t>——</w:t>
      </w:r>
      <w:bookmarkStart w:id="3" w:name="OLE_LINK24"/>
      <w:r>
        <w:rPr>
          <w:rFonts w:hint="eastAsia" w:ascii="宋体" w:hAnsi="宋体"/>
          <w:bCs/>
          <w:sz w:val="32"/>
          <w:szCs w:val="32"/>
        </w:rPr>
        <w:t>以淮河流域为例</w:t>
      </w:r>
      <w:bookmarkEnd w:id="1"/>
      <w:bookmarkEnd w:id="3"/>
      <w:r>
        <w:rPr>
          <w:rStyle w:val="13"/>
          <w:rFonts w:ascii="宋体" w:hAnsi="宋体"/>
          <w:b/>
          <w:color w:val="FFFFFF"/>
          <w:sz w:val="32"/>
          <w:szCs w:val="32"/>
        </w:rPr>
        <w:footnoteReference w:id="0"/>
      </w:r>
      <w:r>
        <w:rPr>
          <w:rFonts w:hint="eastAsia" w:ascii="楷体_GB2312" w:eastAsia="楷体_GB2312"/>
          <w:color w:val="FF0000"/>
          <w:szCs w:val="24"/>
        </w:rPr>
        <w:t>（副标题：宋体3号，居中）</w:t>
      </w:r>
    </w:p>
    <w:p>
      <w:pPr>
        <w:jc w:val="center"/>
        <w:rPr>
          <w:rFonts w:hint="eastAsia" w:ascii="楷体" w:hAnsi="楷体" w:eastAsia="楷体" w:cs="楷体"/>
          <w:bCs/>
          <w:sz w:val="28"/>
          <w:szCs w:val="28"/>
        </w:rPr>
      </w:pPr>
      <w:r>
        <w:rPr>
          <w:rFonts w:hint="eastAsia" w:ascii="楷体" w:hAnsi="楷体" w:eastAsia="楷体" w:cs="楷体"/>
          <w:bCs/>
          <w:sz w:val="28"/>
          <w:szCs w:val="28"/>
        </w:rPr>
        <w:t>王慧敏</w:t>
      </w:r>
      <w:r>
        <w:rPr>
          <w:rFonts w:hint="eastAsia" w:ascii="楷体" w:hAnsi="楷体" w:eastAsia="楷体" w:cs="楷体"/>
          <w:bCs/>
          <w:sz w:val="28"/>
          <w:szCs w:val="28"/>
          <w:vertAlign w:val="superscript"/>
        </w:rPr>
        <w:t>1</w:t>
      </w:r>
      <w:r>
        <w:rPr>
          <w:rFonts w:hint="eastAsia" w:ascii="楷体" w:hAnsi="楷体" w:eastAsia="楷体" w:cs="楷体"/>
          <w:bCs/>
          <w:sz w:val="28"/>
          <w:szCs w:val="28"/>
        </w:rPr>
        <w:t>，陈 蓉</w:t>
      </w:r>
      <w:r>
        <w:rPr>
          <w:rFonts w:hint="eastAsia" w:ascii="楷体" w:hAnsi="楷体" w:eastAsia="楷体" w:cs="楷体"/>
          <w:bCs/>
          <w:sz w:val="28"/>
          <w:szCs w:val="28"/>
          <w:vertAlign w:val="superscript"/>
        </w:rPr>
        <w:t>2</w:t>
      </w:r>
      <w:r>
        <w:rPr>
          <w:rFonts w:hint="eastAsia" w:ascii="楷体" w:hAnsi="楷体" w:eastAsia="楷体" w:cs="楷体"/>
          <w:bCs/>
          <w:sz w:val="28"/>
          <w:szCs w:val="28"/>
        </w:rPr>
        <w:t>，佟金萍</w:t>
      </w:r>
      <w:r>
        <w:rPr>
          <w:rFonts w:hint="eastAsia" w:ascii="楷体" w:hAnsi="楷体" w:eastAsia="楷体" w:cs="楷体"/>
          <w:bCs/>
          <w:sz w:val="28"/>
          <w:szCs w:val="28"/>
          <w:vertAlign w:val="superscript"/>
        </w:rPr>
        <w:t>3</w:t>
      </w:r>
      <w:r>
        <w:rPr>
          <w:rFonts w:hint="eastAsia" w:ascii="楷体_GB2312" w:eastAsia="楷体_GB2312"/>
          <w:color w:val="FF0000"/>
          <w:szCs w:val="24"/>
        </w:rPr>
        <w:t>（作者：楷体4号，居中）</w:t>
      </w:r>
    </w:p>
    <w:p>
      <w:pPr>
        <w:jc w:val="center"/>
        <w:rPr>
          <w:rFonts w:hint="eastAsia" w:ascii="宋体" w:hAnsi="宋体" w:cs="宋体"/>
          <w:bCs/>
          <w:sz w:val="18"/>
          <w:szCs w:val="18"/>
        </w:rPr>
      </w:pPr>
      <w:r>
        <w:rPr>
          <w:rFonts w:hint="eastAsia" w:ascii="宋体" w:hAnsi="宋体" w:cs="宋体"/>
          <w:bCs/>
          <w:sz w:val="18"/>
          <w:szCs w:val="18"/>
        </w:rPr>
        <w:t>（1.河海大学水文水资源与水利工程科学国家重点实验室，江苏南京 210098；</w:t>
      </w:r>
    </w:p>
    <w:p>
      <w:pPr>
        <w:jc w:val="left"/>
        <w:rPr>
          <w:rFonts w:hint="eastAsia" w:ascii="楷体_GB2312" w:eastAsia="楷体_GB2312"/>
          <w:color w:val="FF0000"/>
          <w:szCs w:val="24"/>
        </w:rPr>
      </w:pPr>
      <w:r>
        <w:rPr>
          <w:rFonts w:hint="eastAsia" w:ascii="宋体" w:hAnsi="宋体" w:cs="宋体"/>
          <w:bCs/>
          <w:sz w:val="18"/>
          <w:szCs w:val="18"/>
        </w:rPr>
        <w:t>2.河海大学管理科学研究所，江苏南京 210098；3.常州大学经济管理学院，江苏常州 213164）</w:t>
      </w:r>
      <w:r>
        <w:rPr>
          <w:rFonts w:hint="eastAsia" w:ascii="楷体_GB2312" w:eastAsia="楷体_GB2312"/>
          <w:color w:val="FF0000"/>
          <w:szCs w:val="24"/>
        </w:rPr>
        <w:t>（单位：宋体小5号，居中）</w:t>
      </w:r>
    </w:p>
    <w:p>
      <w:pPr>
        <w:spacing w:line="360" w:lineRule="auto"/>
        <w:jc w:val="center"/>
        <w:rPr>
          <w:rFonts w:hint="eastAsia" w:ascii="楷体_GB2312" w:eastAsia="楷体_GB2312"/>
          <w:color w:val="FF0000"/>
          <w:szCs w:val="24"/>
        </w:rPr>
      </w:pPr>
      <w:r>
        <w:rPr>
          <w:rFonts w:hint="eastAsia" w:ascii="楷体_GB2312" w:eastAsia="楷体_GB2312"/>
          <w:color w:val="FF0000"/>
          <w:szCs w:val="24"/>
        </w:rPr>
        <w:t>（此处为空1行）</w:t>
      </w:r>
    </w:p>
    <w:p>
      <w:pPr>
        <w:autoSpaceDE w:val="0"/>
        <w:autoSpaceDN w:val="0"/>
        <w:adjustRightInd w:val="0"/>
        <w:spacing w:line="400" w:lineRule="exact"/>
        <w:jc w:val="left"/>
        <w:outlineLvl w:val="0"/>
        <w:rPr>
          <w:rFonts w:hint="eastAsia" w:ascii="宋体" w:hAnsi="宋体" w:cs="Arial"/>
          <w:bCs/>
          <w:sz w:val="24"/>
        </w:rPr>
      </w:pPr>
      <w:r>
        <w:rPr>
          <w:rFonts w:hint="eastAsia" w:ascii="宋体" w:hAnsi="宋体" w:cs="Arial"/>
          <w:b/>
          <w:szCs w:val="21"/>
        </w:rPr>
        <w:t>摘要：</w:t>
      </w:r>
      <w:r>
        <w:rPr>
          <w:rFonts w:hint="eastAsia" w:ascii="宋体" w:hAnsi="宋体" w:cs="Arial"/>
          <w:bCs/>
          <w:szCs w:val="21"/>
        </w:rPr>
        <w:t>近年来流域性</w:t>
      </w:r>
      <w:r>
        <w:rPr>
          <w:rFonts w:hint="eastAsia"/>
          <w:szCs w:val="21"/>
        </w:rPr>
        <w:t>洪水灾害</w:t>
      </w:r>
      <w:r>
        <w:rPr>
          <w:rFonts w:hint="eastAsia" w:ascii="宋体" w:hAnsi="宋体" w:cs="Arial"/>
          <w:bCs/>
          <w:szCs w:val="21"/>
        </w:rPr>
        <w:t>呈现常态化发展趋势</w:t>
      </w:r>
      <w:bookmarkStart w:id="4" w:name="OLE_LINK11"/>
      <w:bookmarkStart w:id="5" w:name="OLE_LINK16"/>
      <w:r>
        <w:rPr>
          <w:rFonts w:hint="eastAsia" w:ascii="宋体" w:hAnsi="宋体" w:cs="Arial"/>
          <w:bCs/>
          <w:szCs w:val="21"/>
        </w:rPr>
        <w:t>，现行的</w:t>
      </w:r>
      <w:bookmarkEnd w:id="4"/>
      <w:bookmarkStart w:id="6" w:name="OLE_LINK10"/>
      <w:bookmarkStart w:id="7" w:name="OLE_LINK12"/>
      <w:bookmarkStart w:id="8" w:name="OLE_LINK9"/>
      <w:r>
        <w:rPr>
          <w:rFonts w:hint="eastAsia" w:ascii="宋体" w:hAnsi="宋体" w:cs="Arial"/>
          <w:bCs/>
          <w:szCs w:val="21"/>
        </w:rPr>
        <w:t>防汛组织体系</w:t>
      </w:r>
      <w:bookmarkEnd w:id="6"/>
      <w:bookmarkEnd w:id="7"/>
      <w:bookmarkEnd w:id="8"/>
      <w:r>
        <w:rPr>
          <w:rFonts w:hint="eastAsia" w:ascii="宋体" w:hAnsi="宋体" w:cs="Arial"/>
          <w:bCs/>
          <w:szCs w:val="21"/>
        </w:rPr>
        <w:t>已经无法适应越来越复杂的洪灾应急管理的要求，</w:t>
      </w:r>
      <w:bookmarkEnd w:id="5"/>
      <w:r>
        <w:rPr>
          <w:rFonts w:hint="eastAsia" w:ascii="宋体" w:hAnsi="宋体" w:cs="Arial"/>
          <w:bCs/>
          <w:szCs w:val="21"/>
        </w:rPr>
        <w:t>符合我国洪灾应急管理现实需求的管理体制只能是将科层制与合作制相结合。由此，提出“科层-合作”制的洪灾应急管理思想，并结合CMSS模式，</w:t>
      </w:r>
      <w:bookmarkStart w:id="9" w:name="OLE_LINK29"/>
      <w:r>
        <w:rPr>
          <w:rFonts w:hint="eastAsia" w:ascii="宋体" w:hAnsi="宋体" w:cs="Arial"/>
          <w:bCs/>
          <w:szCs w:val="21"/>
        </w:rPr>
        <w:t>构建</w:t>
      </w:r>
      <w:bookmarkEnd w:id="9"/>
      <w:bookmarkStart w:id="10" w:name="OLE_LINK1"/>
      <w:r>
        <w:rPr>
          <w:rFonts w:hint="eastAsia" w:ascii="宋体" w:hAnsi="宋体" w:cs="Arial"/>
          <w:bCs/>
          <w:szCs w:val="21"/>
        </w:rPr>
        <w:t>“科层-合作”</w:t>
      </w:r>
      <w:bookmarkEnd w:id="10"/>
      <w:r>
        <w:rPr>
          <w:rFonts w:hint="eastAsia" w:ascii="宋体" w:hAnsi="宋体" w:cs="Arial"/>
          <w:bCs/>
          <w:szCs w:val="21"/>
        </w:rPr>
        <w:t>制下的洪灾应急管理组织框架，</w:t>
      </w:r>
      <w:bookmarkStart w:id="11" w:name="OLE_LINK32"/>
      <w:r>
        <w:rPr>
          <w:rFonts w:hint="eastAsia" w:ascii="宋体" w:hAnsi="宋体" w:cs="Arial"/>
          <w:bCs/>
          <w:szCs w:val="21"/>
        </w:rPr>
        <w:t>分析演化机制</w:t>
      </w:r>
      <w:bookmarkEnd w:id="11"/>
      <w:r>
        <w:rPr>
          <w:rFonts w:hint="eastAsia" w:ascii="宋体" w:hAnsi="宋体" w:cs="Arial"/>
          <w:bCs/>
          <w:szCs w:val="21"/>
        </w:rPr>
        <w:t>。最后以淮河流域为例，构建“科层-合作”制的淮河流域洪灾应急管理组织体系，并与现行的淮河流域科层制防汛结构体系对比，得出前者更适应洪灾应急环境变化，从而使洪灾应急更有效的结论。</w:t>
      </w:r>
      <w:r>
        <w:rPr>
          <w:rFonts w:hint="eastAsia" w:ascii="楷体_GB2312" w:eastAsia="楷体_GB2312"/>
          <w:color w:val="FF0000"/>
          <w:szCs w:val="24"/>
        </w:rPr>
        <w:t>（摘要：宋体5号）</w:t>
      </w:r>
    </w:p>
    <w:p>
      <w:pPr>
        <w:autoSpaceDE w:val="0"/>
        <w:autoSpaceDN w:val="0"/>
        <w:adjustRightInd w:val="0"/>
        <w:spacing w:line="400" w:lineRule="exact"/>
        <w:jc w:val="left"/>
        <w:outlineLvl w:val="0"/>
        <w:rPr>
          <w:rStyle w:val="15"/>
          <w:rFonts w:hint="eastAsia" w:hAnsi="Arial"/>
          <w:sz w:val="24"/>
          <w:shd w:val="clear" w:color="auto" w:fill="FFFFFF"/>
        </w:rPr>
      </w:pPr>
      <w:r>
        <w:rPr>
          <w:rFonts w:hint="eastAsia" w:ascii="宋体" w:hAnsi="宋体" w:cs="Arial"/>
          <w:b/>
          <w:szCs w:val="21"/>
        </w:rPr>
        <w:t>关键字：</w:t>
      </w:r>
      <w:r>
        <w:rPr>
          <w:rFonts w:hint="eastAsia" w:ascii="宋体" w:hAnsi="宋体" w:cs="Arial"/>
          <w:bCs/>
          <w:szCs w:val="21"/>
        </w:rPr>
        <w:t>“科层-合作”制；洪灾</w:t>
      </w:r>
      <w:bookmarkStart w:id="12" w:name="OLE_LINK15"/>
      <w:bookmarkStart w:id="13" w:name="OLE_LINK17"/>
      <w:r>
        <w:rPr>
          <w:rFonts w:hint="eastAsia" w:ascii="宋体" w:hAnsi="宋体" w:cs="Arial"/>
          <w:bCs/>
          <w:szCs w:val="21"/>
        </w:rPr>
        <w:t>应急管理</w:t>
      </w:r>
      <w:bookmarkEnd w:id="12"/>
      <w:bookmarkEnd w:id="13"/>
      <w:r>
        <w:rPr>
          <w:rFonts w:hint="eastAsia" w:ascii="宋体" w:hAnsi="宋体" w:cs="Arial"/>
          <w:bCs/>
          <w:szCs w:val="21"/>
        </w:rPr>
        <w:t>；组织体系；淮河流域</w:t>
      </w:r>
      <w:r>
        <w:rPr>
          <w:rFonts w:hint="eastAsia" w:ascii="楷体_GB2312" w:eastAsia="楷体_GB2312"/>
          <w:color w:val="FF0000"/>
          <w:szCs w:val="24"/>
        </w:rPr>
        <w:t>（关键词：宋体5号）</w:t>
      </w:r>
    </w:p>
    <w:p>
      <w:pPr>
        <w:spacing w:line="360" w:lineRule="auto"/>
        <w:jc w:val="center"/>
        <w:rPr>
          <w:rFonts w:hint="eastAsia" w:ascii="楷体_GB2312" w:eastAsia="楷体_GB2312"/>
          <w:color w:val="FF0000"/>
          <w:szCs w:val="24"/>
        </w:rPr>
      </w:pPr>
      <w:bookmarkStart w:id="14" w:name="_Toc327384994"/>
      <w:r>
        <w:rPr>
          <w:rFonts w:hint="eastAsia" w:ascii="楷体_GB2312" w:eastAsia="楷体_GB2312"/>
          <w:color w:val="FF0000"/>
          <w:szCs w:val="24"/>
        </w:rPr>
        <w:t>（此处为空1行）</w:t>
      </w:r>
    </w:p>
    <w:p>
      <w:pPr>
        <w:spacing w:before="249" w:beforeLines="80" w:after="156" w:afterLines="50" w:line="400" w:lineRule="exact"/>
        <w:outlineLvl w:val="0"/>
        <w:rPr>
          <w:sz w:val="28"/>
          <w:szCs w:val="28"/>
        </w:rPr>
      </w:pPr>
      <w:r>
        <w:rPr>
          <w:rFonts w:hint="eastAsia" w:ascii="黑体" w:hAnsi="黑体" w:eastAsia="黑体" w:cs="黑体"/>
          <w:b/>
          <w:bCs/>
          <w:sz w:val="28"/>
          <w:szCs w:val="28"/>
        </w:rPr>
        <w:t>一、引言</w:t>
      </w:r>
      <w:r>
        <w:rPr>
          <w:rFonts w:hint="eastAsia" w:ascii="楷体_GB2312" w:eastAsia="楷体_GB2312"/>
          <w:color w:val="FF0000"/>
          <w:szCs w:val="24"/>
        </w:rPr>
        <w:t>(一级标题：黑体4号，加粗)</w:t>
      </w:r>
    </w:p>
    <w:p>
      <w:pPr>
        <w:autoSpaceDE w:val="0"/>
        <w:autoSpaceDN w:val="0"/>
        <w:adjustRightInd w:val="0"/>
        <w:spacing w:line="400" w:lineRule="exact"/>
        <w:ind w:firstLine="420" w:firstLineChars="200"/>
        <w:jc w:val="left"/>
        <w:outlineLvl w:val="0"/>
        <w:rPr>
          <w:rFonts w:hint="eastAsia" w:ascii="楷体_GB2312" w:eastAsia="楷体_GB2312"/>
          <w:color w:val="FF0000"/>
          <w:szCs w:val="24"/>
        </w:rPr>
      </w:pPr>
      <w:r>
        <w:rPr>
          <w:rFonts w:hint="eastAsia" w:ascii="宋体" w:hAnsi="宋体" w:cs="宋体"/>
          <w:bCs/>
          <w:szCs w:val="21"/>
        </w:rPr>
        <w:t>由于地处亚洲季风气候带，降雨量时空分布不均，我国是世界上洪水灾害发生最频繁、最严重的国家之一。进入21世纪以来，流域性的特大洪灾几乎年年发生，无论从强度、发生频率、持续时间、地理分布和影响范围看，洪水灾害似乎正在演变成一种常态。</w:t>
      </w:r>
      <w:r>
        <w:rPr>
          <w:rFonts w:hint="eastAsia" w:ascii="楷体_GB2312" w:eastAsia="楷体_GB2312"/>
          <w:color w:val="FF0000"/>
          <w:szCs w:val="24"/>
        </w:rPr>
        <w:t>（正文：宋体5号，首行缩进2字符）</w:t>
      </w:r>
      <w:bookmarkEnd w:id="14"/>
    </w:p>
    <w:p>
      <w:pPr>
        <w:spacing w:line="460" w:lineRule="exact"/>
        <w:jc w:val="center"/>
        <w:rPr>
          <w:rFonts w:hint="eastAsia" w:ascii="宋体" w:hAnsi="宋体"/>
          <w:szCs w:val="24"/>
        </w:rPr>
      </w:pPr>
      <w:r>
        <w:rPr>
          <w:rFonts w:hint="eastAsia" w:ascii="宋体" w:hAnsi="宋体"/>
          <w:szCs w:val="24"/>
        </w:rPr>
        <w:t>.......</w:t>
      </w:r>
    </w:p>
    <w:p>
      <w:pPr>
        <w:spacing w:before="249" w:beforeLines="80" w:after="156" w:afterLines="50" w:line="400" w:lineRule="exact"/>
        <w:outlineLvl w:val="0"/>
        <w:rPr>
          <w:rFonts w:hint="eastAsia" w:ascii="黑体" w:hAnsi="黑体" w:eastAsia="黑体" w:cs="黑体"/>
          <w:b/>
          <w:bCs/>
          <w:sz w:val="28"/>
          <w:szCs w:val="28"/>
        </w:rPr>
      </w:pPr>
      <w:r>
        <w:rPr>
          <w:rFonts w:hint="eastAsia" w:ascii="黑体" w:hAnsi="黑体" w:eastAsia="黑体" w:cs="黑体"/>
          <w:b/>
          <w:bCs/>
          <w:sz w:val="28"/>
          <w:szCs w:val="28"/>
        </w:rPr>
        <w:t>三、“科层-合作”制洪灾应急管理组织结构</w:t>
      </w:r>
    </w:p>
    <w:p>
      <w:pPr>
        <w:spacing w:line="400" w:lineRule="auto"/>
        <w:ind w:firstLine="420"/>
        <w:outlineLvl w:val="0"/>
        <w:rPr>
          <w:bCs/>
          <w:color w:val="FF0000"/>
          <w:sz w:val="24"/>
        </w:rPr>
      </w:pPr>
      <w:bookmarkStart w:id="15" w:name="_Toc380510146"/>
      <w:r>
        <w:rPr>
          <w:rFonts w:hint="eastAsia" w:ascii="楷体" w:hAnsi="楷体" w:eastAsia="楷体" w:cs="楷体"/>
          <w:bCs/>
          <w:szCs w:val="21"/>
        </w:rPr>
        <w:t>1.“科层-合作”制的界定与特征</w:t>
      </w:r>
      <w:bookmarkEnd w:id="15"/>
      <w:r>
        <w:rPr>
          <w:rFonts w:hint="eastAsia" w:ascii="楷体_GB2312" w:eastAsia="楷体_GB2312"/>
          <w:color w:val="FF0000"/>
          <w:szCs w:val="24"/>
        </w:rPr>
        <w:t>（二级标题，楷体5号，首行缩进2字符）</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由前文分析可知，“科层-合作”制是最符合我国洪灾应急管理现实的行政组织管理体制，是对科层制和合作制利弊权衡后的取长补短。参考学界对于科层制和合作制的界定[16-17],我们对于“科层-合作”制作出如下定义与解释</w:t>
      </w:r>
    </w:p>
    <w:p>
      <w:pPr>
        <w:spacing w:line="460" w:lineRule="exact"/>
        <w:jc w:val="center"/>
        <w:rPr>
          <w:rFonts w:hint="eastAsia" w:ascii="宋体" w:hAnsi="宋体" w:cs="宋体"/>
          <w:bCs/>
          <w:szCs w:val="21"/>
        </w:rPr>
      </w:pPr>
      <w:r>
        <w:rPr>
          <w:rFonts w:hint="eastAsia" w:ascii="宋体" w:hAnsi="宋体"/>
          <w:szCs w:val="24"/>
        </w:rPr>
        <w:t>.......</w:t>
      </w:r>
    </w:p>
    <w:p>
      <w:pPr>
        <w:spacing w:line="360" w:lineRule="auto"/>
        <w:ind w:firstLine="420"/>
        <w:outlineLvl w:val="0"/>
        <w:rPr>
          <w:rFonts w:hint="eastAsia" w:ascii="楷体" w:hAnsi="楷体" w:eastAsia="楷体" w:cs="楷体"/>
          <w:bCs/>
          <w:szCs w:val="21"/>
        </w:rPr>
      </w:pPr>
      <w:r>
        <w:rPr>
          <w:rFonts w:hint="eastAsia" w:ascii="宋体" w:hAnsi="宋体" w:cs="宋体"/>
          <w:bCs/>
          <w:szCs w:val="21"/>
        </w:rPr>
        <w:t>（1）指挥中心的组建</w:t>
      </w:r>
      <w:r>
        <w:rPr>
          <w:rFonts w:hint="eastAsia" w:ascii="楷体_GB2312" w:eastAsia="楷体_GB2312"/>
          <w:color w:val="FF0000"/>
          <w:szCs w:val="24"/>
        </w:rPr>
        <w:t>（三级标题，宋体5号，首行缩进2字符）</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“科层-合作”制下的洪灾应急管理组织结构中，以流域防总为重心的各级流域机构的指挥协调职能继续发挥重要作用。</w:t>
      </w:r>
    </w:p>
    <w:p>
      <w:pPr>
        <w:spacing w:line="460" w:lineRule="exact"/>
        <w:jc w:val="center"/>
        <w:rPr>
          <w:rFonts w:hint="eastAsia" w:ascii="宋体" w:hAnsi="宋体" w:cs="宋体"/>
          <w:bCs/>
          <w:szCs w:val="21"/>
        </w:rPr>
      </w:pPr>
      <w:r>
        <w:rPr>
          <w:rFonts w:hint="eastAsia" w:ascii="宋体" w:hAnsi="宋体"/>
          <w:szCs w:val="24"/>
        </w:rPr>
        <w:t>.......</w:t>
      </w:r>
    </w:p>
    <w:p>
      <w:pPr>
        <w:autoSpaceDE w:val="0"/>
        <w:autoSpaceDN w:val="0"/>
        <w:adjustRightInd w:val="0"/>
        <w:spacing w:line="400" w:lineRule="exact"/>
        <w:ind w:firstLine="420" w:firstLineChars="200"/>
        <w:jc w:val="left"/>
        <w:outlineLvl w:val="0"/>
        <w:rPr>
          <w:rFonts w:hint="eastAsia" w:ascii="宋体" w:hAnsi="宋体" w:cs="宋体"/>
          <w:bCs/>
          <w:szCs w:val="21"/>
        </w:rPr>
      </w:pPr>
      <w:r>
        <w:rPr>
          <w:rFonts w:hint="eastAsia" w:ascii="宋体" w:hAnsi="宋体" w:cs="宋体"/>
          <w:bCs/>
          <w:szCs w:val="21"/>
        </w:rPr>
        <w:t>①决策模块。主要针对跨区域救灾问题进行宏观控制的功能模块，分设灾区事务部和帮扶区事务部，均由流域防总和对应的省级防办派遣专人开展工作。</w:t>
      </w:r>
    </w:p>
    <w:p>
      <w:pPr>
        <w:spacing w:line="460" w:lineRule="exact"/>
        <w:jc w:val="center"/>
        <w:rPr>
          <w:rFonts w:hint="eastAsia"/>
          <w:b/>
          <w:bCs/>
          <w:sz w:val="24"/>
          <w:szCs w:val="24"/>
        </w:rPr>
      </w:pPr>
      <w:r>
        <w:rPr>
          <w:rFonts w:hint="eastAsia" w:ascii="宋体" w:hAnsi="宋体"/>
          <w:szCs w:val="24"/>
        </w:rPr>
        <w:t>.......</w:t>
      </w:r>
    </w:p>
    <w:p>
      <w:pPr>
        <w:spacing w:line="460" w:lineRule="exact"/>
        <w:rPr>
          <w:rFonts w:hint="eastAsia"/>
          <w:b/>
          <w:bCs/>
          <w:sz w:val="24"/>
          <w:szCs w:val="24"/>
        </w:rPr>
      </w:pPr>
    </w:p>
    <w:p>
      <w:pPr>
        <w:spacing w:line="400" w:lineRule="exact"/>
        <w:jc w:val="center"/>
        <w:rPr>
          <w:rFonts w:hint="eastAsia" w:ascii="黑体" w:hAnsi="黑体" w:eastAsia="黑体" w:cs="黑体"/>
          <w:b/>
          <w:sz w:val="18"/>
          <w:szCs w:val="18"/>
        </w:rPr>
      </w:pPr>
      <w:r>
        <w:rPr>
          <w:rFonts w:hint="eastAsia" w:ascii="黑体" w:hAnsi="黑体" w:eastAsia="黑体" w:cs="黑体"/>
          <w:b/>
          <w:sz w:val="18"/>
          <w:szCs w:val="18"/>
        </w:rPr>
        <w:t>表1  科层制、合作制、“科层-合作”制的特征比较</w:t>
      </w:r>
    </w:p>
    <w:p>
      <w:pPr>
        <w:spacing w:line="400" w:lineRule="exact"/>
        <w:jc w:val="center"/>
        <w:rPr>
          <w:rFonts w:hint="eastAsia" w:ascii="楷体_GB2312" w:hAnsi="宋体" w:eastAsia="楷体_GB2312"/>
          <w:color w:val="FF0000"/>
          <w:szCs w:val="21"/>
        </w:rPr>
      </w:pPr>
      <w:r>
        <w:rPr>
          <w:rFonts w:hint="eastAsia" w:ascii="楷体_GB2312" w:eastAsia="楷体_GB2312"/>
          <w:color w:val="FF0000"/>
          <w:szCs w:val="24"/>
        </w:rPr>
        <w:t xml:space="preserve"> （表格标题：黑体小5加粗、居中） </w:t>
      </w:r>
    </w:p>
    <w:tbl>
      <w:tblPr>
        <w:tblStyle w:val="9"/>
        <w:tblW w:w="8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167"/>
        <w:gridCol w:w="1246"/>
        <w:gridCol w:w="1307"/>
        <w:gridCol w:w="1185"/>
        <w:gridCol w:w="1246"/>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管理体制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主体地位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组织管理原则</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决策模式</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行动模式</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信息传递模式</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制约方式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科层制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严格等级划分</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程序化</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集中决策</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“命令-服从”</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纵向传递</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合作制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平等地位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自组织</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共同决策</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配合、联动</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网络共享</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共同目标约束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23"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“科层-合作”制</w:t>
            </w:r>
          </w:p>
        </w:tc>
        <w:tc>
          <w:tcPr>
            <w:tcW w:w="116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存在非严格的层级划分</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以人为本、动态权变</w:t>
            </w:r>
          </w:p>
        </w:tc>
        <w:tc>
          <w:tcPr>
            <w:tcW w:w="1307"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部分决策权下放</w:t>
            </w:r>
          </w:p>
        </w:tc>
        <w:tc>
          <w:tcPr>
            <w:tcW w:w="1185"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以任务小组为基本行动单位</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网络共享</w:t>
            </w:r>
          </w:p>
        </w:tc>
        <w:tc>
          <w:tcPr>
            <w:tcW w:w="1246" w:type="dxa"/>
            <w:tcBorders>
              <w:left w:val="nil"/>
              <w:right w:val="nil"/>
            </w:tcBorders>
            <w:noWrap w:val="0"/>
            <w:vAlign w:val="center"/>
          </w:tcPr>
          <w:p>
            <w:pPr>
              <w:spacing w:line="360" w:lineRule="auto"/>
              <w:jc w:val="center"/>
              <w:rPr>
                <w:rFonts w:hint="eastAsia" w:ascii="宋体" w:hAnsi="宋体" w:cs="宋体"/>
                <w:sz w:val="15"/>
                <w:szCs w:val="15"/>
              </w:rPr>
            </w:pPr>
            <w:r>
              <w:rPr>
                <w:rFonts w:hint="eastAsia" w:ascii="宋体" w:hAnsi="宋体" w:cs="宋体"/>
                <w:sz w:val="15"/>
                <w:szCs w:val="15"/>
              </w:rPr>
              <w:t>任务导向</w:t>
            </w:r>
          </w:p>
        </w:tc>
      </w:tr>
    </w:tbl>
    <w:p>
      <w:pPr>
        <w:spacing w:line="400" w:lineRule="exact"/>
        <w:jc w:val="center"/>
        <w:rPr>
          <w:rFonts w:hint="eastAsia" w:ascii="楷体_GB2312" w:hAnsi="宋体" w:eastAsia="楷体_GB2312"/>
          <w:color w:val="FF0000"/>
          <w:szCs w:val="21"/>
        </w:rPr>
      </w:pPr>
      <w:r>
        <w:rPr>
          <w:rFonts w:hint="eastAsia" w:ascii="楷体_GB2312" w:eastAsia="楷体_GB2312"/>
          <w:color w:val="FF0000"/>
          <w:szCs w:val="24"/>
        </w:rPr>
        <w:t>（表内文字：宋体6号）</w:t>
      </w:r>
    </w:p>
    <w:p>
      <w:pPr>
        <w:spacing w:line="360" w:lineRule="auto"/>
        <w:jc w:val="center"/>
        <w:rPr>
          <w:rFonts w:hint="eastAsia" w:ascii="楷体_GB2312" w:hAnsi="宋体" w:eastAsia="楷体_GB2312"/>
          <w:szCs w:val="21"/>
        </w:rPr>
      </w:pPr>
    </w:p>
    <w:p>
      <w:pPr>
        <w:spacing w:line="360" w:lineRule="auto"/>
        <w:jc w:val="center"/>
        <w:rPr>
          <w:rFonts w:hint="eastAsia" w:ascii="楷体_GB2312" w:hAnsi="宋体" w:eastAsia="楷体_GB2312"/>
          <w:szCs w:val="21"/>
        </w:rPr>
      </w:pPr>
      <w:r>
        <mc:AlternateContent>
          <mc:Choice Requires="wpg">
            <w:drawing>
              <wp:inline distT="0" distB="0" distL="114300" distR="114300">
                <wp:extent cx="4491355" cy="3070860"/>
                <wp:effectExtent l="4445" t="13335" r="0" b="40005"/>
                <wp:docPr id="48" name="Group 151"/>
                <wp:cNvGraphicFramePr/>
                <a:graphic xmlns:a="http://schemas.openxmlformats.org/drawingml/2006/main">
                  <a:graphicData uri="http://schemas.microsoft.com/office/word/2010/wordprocessingGroup">
                    <wpg:wgp>
                      <wpg:cNvGrpSpPr/>
                      <wpg:grpSpPr>
                        <a:xfrm>
                          <a:off x="0" y="0"/>
                          <a:ext cx="4491355" cy="3070860"/>
                          <a:chOff x="0" y="0"/>
                          <a:chExt cx="7073" cy="4836"/>
                        </a:xfrm>
                      </wpg:grpSpPr>
                      <wps:wsp>
                        <wps:cNvPr id="1" name="Picture 152"/>
                        <wps:cNvSpPr>
                          <a:spLocks noChangeAspect="1" noTextEdit="1"/>
                        </wps:cNvSpPr>
                        <wps:spPr>
                          <a:xfrm>
                            <a:off x="0" y="0"/>
                            <a:ext cx="7073" cy="4836"/>
                          </a:xfrm>
                          <a:prstGeom prst="rect">
                            <a:avLst/>
                          </a:prstGeom>
                          <a:noFill/>
                          <a:ln>
                            <a:noFill/>
                          </a:ln>
                        </wps:spPr>
                        <wps:bodyPr wrap="square" upright="1"/>
                      </wps:wsp>
                      <wpg:grpSp>
                        <wpg:cNvPr id="47" name="Group 153"/>
                        <wpg:cNvGrpSpPr/>
                        <wpg:grpSpPr>
                          <a:xfrm>
                            <a:off x="0" y="0"/>
                            <a:ext cx="7073" cy="4836"/>
                            <a:chOff x="0" y="0"/>
                            <a:chExt cx="7073" cy="4836"/>
                          </a:xfrm>
                        </wpg:grpSpPr>
                        <wps:wsp>
                          <wps:cNvPr id="2" name="AutoShape 154"/>
                          <wps:cNvSpPr/>
                          <wps:spPr>
                            <a:xfrm>
                              <a:off x="0" y="1872"/>
                              <a:ext cx="1980" cy="2028"/>
                            </a:xfrm>
                            <a:prstGeom prst="roundRect">
                              <a:avLst>
                                <a:gd name="adj" fmla="val 1153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bodyPr wrap="square" upright="1"/>
                        </wps:wsp>
                        <wps:wsp>
                          <wps:cNvPr id="3" name="Rectangle 155"/>
                          <wps:cNvSpPr/>
                          <wps:spPr>
                            <a:xfrm>
                              <a:off x="180" y="2340"/>
                              <a:ext cx="162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5"/>
                                    <w:szCs w:val="15"/>
                                  </w:rPr>
                                </w:pPr>
                                <w:r>
                                  <w:rPr>
                                    <w:rFonts w:hint="eastAsia"/>
                                    <w:sz w:val="15"/>
                                    <w:szCs w:val="15"/>
                                  </w:rPr>
                                  <w:t>层级权限</w:t>
                                </w:r>
                              </w:p>
                              <w:p>
                                <w:pPr>
                                  <w:rPr>
                                    <w:rFonts w:hint="eastAsia"/>
                                    <w:sz w:val="15"/>
                                    <w:szCs w:val="15"/>
                                  </w:rPr>
                                </w:pPr>
                                <w:r>
                                  <w:rPr>
                                    <w:rFonts w:hint="eastAsia"/>
                                    <w:sz w:val="15"/>
                                    <w:szCs w:val="15"/>
                                  </w:rPr>
                                  <w:t>非人格化</w:t>
                                </w:r>
                              </w:p>
                              <w:p>
                                <w:pPr>
                                  <w:rPr>
                                    <w:rFonts w:hint="eastAsia"/>
                                    <w:sz w:val="15"/>
                                    <w:szCs w:val="15"/>
                                  </w:rPr>
                                </w:pPr>
                                <w:r>
                                  <w:rPr>
                                    <w:rFonts w:hint="eastAsia"/>
                                    <w:sz w:val="15"/>
                                    <w:szCs w:val="15"/>
                                  </w:rPr>
                                  <w:t>专业分工</w:t>
                                </w:r>
                              </w:p>
                              <w:p>
                                <w:pPr>
                                  <w:rPr>
                                    <w:rFonts w:hint="eastAsia"/>
                                    <w:sz w:val="15"/>
                                    <w:szCs w:val="15"/>
                                  </w:rPr>
                                </w:pPr>
                                <w:r>
                                  <w:rPr>
                                    <w:rFonts w:hint="eastAsia"/>
                                    <w:sz w:val="15"/>
                                    <w:szCs w:val="15"/>
                                  </w:rPr>
                                  <w:t>单通道信息途径</w:t>
                                </w:r>
                              </w:p>
                            </w:txbxContent>
                          </wps:txbx>
                          <wps:bodyPr wrap="square" upright="1"/>
                        </wps:wsp>
                        <wps:wsp>
                          <wps:cNvPr id="4" name="Rectangle 156"/>
                          <wps:cNvSpPr/>
                          <wps:spPr>
                            <a:xfrm>
                              <a:off x="533" y="1872"/>
                              <a:ext cx="900" cy="468"/>
                            </a:xfrm>
                            <a:prstGeom prst="rect">
                              <a:avLst/>
                            </a:prstGeom>
                            <a:noFill/>
                            <a:ln>
                              <a:noFill/>
                            </a:ln>
                          </wps:spPr>
                          <wps:txbx>
                            <w:txbxContent>
                              <w:p>
                                <w:pPr>
                                  <w:rPr>
                                    <w:rFonts w:hint="eastAsia"/>
                                    <w:sz w:val="15"/>
                                    <w:szCs w:val="15"/>
                                  </w:rPr>
                                </w:pPr>
                                <w:r>
                                  <w:rPr>
                                    <w:rFonts w:hint="eastAsia"/>
                                    <w:sz w:val="15"/>
                                    <w:szCs w:val="15"/>
                                  </w:rPr>
                                  <w:t>科层制</w:t>
                                </w:r>
                              </w:p>
                            </w:txbxContent>
                          </wps:txbx>
                          <wps:bodyPr wrap="square" upright="1"/>
                        </wps:wsp>
                        <wps:wsp>
                          <wps:cNvPr id="5" name="Rectangle 157"/>
                          <wps:cNvSpPr/>
                          <wps:spPr>
                            <a:xfrm>
                              <a:off x="4223" y="3684"/>
                              <a:ext cx="720" cy="780"/>
                            </a:xfrm>
                            <a:prstGeom prst="rect">
                              <a:avLst/>
                            </a:prstGeom>
                            <a:noFill/>
                            <a:ln>
                              <a:noFill/>
                            </a:ln>
                          </wps:spPr>
                          <wps:txbx>
                            <w:txbxContent>
                              <w:p>
                                <w:pPr>
                                  <w:jc w:val="center"/>
                                  <w:rPr>
                                    <w:rFonts w:hint="eastAsia"/>
                                    <w:sz w:val="15"/>
                                    <w:szCs w:val="15"/>
                                  </w:rPr>
                                </w:pPr>
                                <w:r>
                                  <w:rPr>
                                    <w:rFonts w:hint="eastAsia"/>
                                    <w:sz w:val="15"/>
                                    <w:szCs w:val="15"/>
                                  </w:rPr>
                                  <w:t>条件需求</w:t>
                                </w:r>
                              </w:p>
                            </w:txbxContent>
                          </wps:txbx>
                          <wps:bodyPr wrap="square" upright="1"/>
                        </wps:wsp>
                        <wps:wsp>
                          <wps:cNvPr id="6" name="Rectangle 158"/>
                          <wps:cNvSpPr/>
                          <wps:spPr>
                            <a:xfrm>
                              <a:off x="3413" y="2340"/>
                              <a:ext cx="1980" cy="1404"/>
                            </a:xfrm>
                            <a:prstGeom prst="rect">
                              <a:avLst/>
                            </a:prstGeom>
                            <a:solidFill>
                              <a:srgbClr val="FFFFFF"/>
                            </a:solidFill>
                            <a:ln w="9525" cap="flat" cmpd="sng">
                              <a:solidFill>
                                <a:srgbClr val="000000"/>
                              </a:solidFill>
                              <a:prstDash val="dash"/>
                              <a:miter/>
                              <a:headEnd type="none" w="med" len="med"/>
                              <a:tailEnd type="none" w="med" len="med"/>
                            </a:ln>
                          </wps:spPr>
                          <wps:txbx>
                            <w:txbxContent>
                              <w:p>
                                <w:pPr>
                                  <w:rPr>
                                    <w:rFonts w:hint="eastAsia"/>
                                    <w:sz w:val="15"/>
                                    <w:szCs w:val="15"/>
                                  </w:rPr>
                                </w:pPr>
                                <w:r>
                                  <w:rPr>
                                    <w:rFonts w:hint="eastAsia"/>
                                    <w:sz w:val="15"/>
                                    <w:szCs w:val="15"/>
                                  </w:rPr>
                                  <w:t>多主体参与</w:t>
                                </w:r>
                              </w:p>
                              <w:p>
                                <w:pPr>
                                  <w:rPr>
                                    <w:rFonts w:hint="eastAsia"/>
                                    <w:sz w:val="15"/>
                                    <w:szCs w:val="15"/>
                                  </w:rPr>
                                </w:pPr>
                                <w:r>
                                  <w:rPr>
                                    <w:rFonts w:hint="eastAsia"/>
                                    <w:sz w:val="15"/>
                                    <w:szCs w:val="15"/>
                                  </w:rPr>
                                  <w:t>以人为本</w:t>
                                </w:r>
                              </w:p>
                              <w:p>
                                <w:pPr>
                                  <w:rPr>
                                    <w:rFonts w:hint="eastAsia"/>
                                    <w:sz w:val="15"/>
                                    <w:szCs w:val="15"/>
                                  </w:rPr>
                                </w:pPr>
                                <w:r>
                                  <w:rPr>
                                    <w:rFonts w:hint="eastAsia"/>
                                    <w:sz w:val="15"/>
                                    <w:szCs w:val="15"/>
                                  </w:rPr>
                                  <w:t>任务导向机构重组</w:t>
                                </w:r>
                              </w:p>
                              <w:p>
                                <w:pPr>
                                  <w:rPr>
                                    <w:rFonts w:hint="eastAsia"/>
                                    <w:sz w:val="15"/>
                                    <w:szCs w:val="15"/>
                                  </w:rPr>
                                </w:pPr>
                                <w:r>
                                  <w:rPr>
                                    <w:rFonts w:hint="eastAsia"/>
                                    <w:sz w:val="15"/>
                                    <w:szCs w:val="15"/>
                                  </w:rPr>
                                  <w:t>信息共享</w:t>
                                </w:r>
                              </w:p>
                            </w:txbxContent>
                          </wps:txbx>
                          <wps:bodyPr wrap="square" upright="1"/>
                        </wps:wsp>
                        <wps:wsp>
                          <wps:cNvPr id="7" name="Rectangle 159"/>
                          <wps:cNvSpPr/>
                          <wps:spPr>
                            <a:xfrm>
                              <a:off x="2235" y="2631"/>
                              <a:ext cx="833" cy="423"/>
                            </a:xfrm>
                            <a:prstGeom prst="rect">
                              <a:avLst/>
                            </a:prstGeom>
                            <a:noFill/>
                            <a:ln>
                              <a:noFill/>
                            </a:ln>
                          </wps:spPr>
                          <wps:txbx>
                            <w:txbxContent>
                              <w:p>
                                <w:pPr>
                                  <w:jc w:val="center"/>
                                  <w:rPr>
                                    <w:rFonts w:hint="eastAsia"/>
                                    <w:sz w:val="15"/>
                                    <w:szCs w:val="15"/>
                                  </w:rPr>
                                </w:pPr>
                                <w:r>
                                  <w:rPr>
                                    <w:rFonts w:hint="eastAsia"/>
                                    <w:sz w:val="15"/>
                                    <w:szCs w:val="15"/>
                                  </w:rPr>
                                  <w:t>相悖</w:t>
                                </w:r>
                              </w:p>
                            </w:txbxContent>
                          </wps:txbx>
                          <wps:bodyPr wrap="square" upright="1"/>
                        </wps:wsp>
                        <wps:wsp>
                          <wps:cNvPr id="8" name="AutoShape 160"/>
                          <wps:cNvSpPr/>
                          <wps:spPr>
                            <a:xfrm>
                              <a:off x="3521" y="4368"/>
                              <a:ext cx="3492"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rFonts w:hint="eastAsia" w:ascii="宋体" w:hAnsi="宋体" w:cs="宋体"/>
                                    <w:sz w:val="15"/>
                                    <w:szCs w:val="15"/>
                                  </w:rPr>
                                </w:pPr>
                                <w:r>
                                  <w:rPr>
                                    <w:rFonts w:hint="eastAsia" w:ascii="宋体" w:hAnsi="宋体" w:cs="宋体"/>
                                    <w:sz w:val="15"/>
                                    <w:szCs w:val="15"/>
                                  </w:rPr>
                                  <w:t>流域极端洪灾应急管理目标——高效</w:t>
                                </w:r>
                              </w:p>
                              <w:p/>
                            </w:txbxContent>
                          </wps:txbx>
                          <wps:bodyPr wrap="square" upright="1"/>
                        </wps:wsp>
                        <wps:wsp>
                          <wps:cNvPr id="9" name="AutoShape 161"/>
                          <wps:cNvCnPr>
                            <a:stCxn id="2" idx="2"/>
                            <a:endCxn id="8" idx="1"/>
                          </wps:cNvCnPr>
                          <wps:spPr>
                            <a:xfrm rot="-5400000" flipH="1">
                              <a:off x="1890" y="2971"/>
                              <a:ext cx="702" cy="2531"/>
                            </a:xfrm>
                            <a:prstGeom prst="bentConnector2">
                              <a:avLst/>
                            </a:prstGeom>
                            <a:ln w="9525" cap="flat" cmpd="sng">
                              <a:solidFill>
                                <a:srgbClr val="000000"/>
                              </a:solidFill>
                              <a:prstDash val="solid"/>
                              <a:miter/>
                              <a:headEnd type="none" w="med" len="med"/>
                              <a:tailEnd type="triangle" w="med" len="med"/>
                            </a:ln>
                          </wps:spPr>
                          <wps:bodyPr/>
                        </wps:wsp>
                        <wps:wsp>
                          <wps:cNvPr id="10" name="Rectangle 162"/>
                          <wps:cNvSpPr/>
                          <wps:spPr>
                            <a:xfrm>
                              <a:off x="900" y="4212"/>
                              <a:ext cx="1800" cy="468"/>
                            </a:xfrm>
                            <a:prstGeom prst="rect">
                              <a:avLst/>
                            </a:prstGeom>
                            <a:noFill/>
                            <a:ln>
                              <a:noFill/>
                            </a:ln>
                          </wps:spPr>
                          <wps:txbx>
                            <w:txbxContent>
                              <w:p>
                                <w:pPr>
                                  <w:jc w:val="center"/>
                                  <w:rPr>
                                    <w:rFonts w:hint="eastAsia"/>
                                    <w:sz w:val="15"/>
                                    <w:szCs w:val="15"/>
                                  </w:rPr>
                                </w:pPr>
                                <w:r>
                                  <w:rPr>
                                    <w:rFonts w:hint="eastAsia"/>
                                    <w:sz w:val="15"/>
                                    <w:szCs w:val="15"/>
                                  </w:rPr>
                                  <w:t>难以满足</w:t>
                                </w:r>
                              </w:p>
                            </w:txbxContent>
                          </wps:txbx>
                          <wps:bodyPr wrap="square" upright="1"/>
                        </wps:wsp>
                        <wps:wsp>
                          <wps:cNvPr id="11" name="AutoShape 163"/>
                          <wps:cNvSpPr/>
                          <wps:spPr>
                            <a:xfrm>
                              <a:off x="2063" y="2964"/>
                              <a:ext cx="1260" cy="156"/>
                            </a:xfrm>
                            <a:prstGeom prst="leftRightArrow">
                              <a:avLst>
                                <a:gd name="adj1" fmla="val 50000"/>
                                <a:gd name="adj2" fmla="val 161538"/>
                              </a:avLst>
                            </a:prstGeom>
                            <a:noFill/>
                            <a:ln w="9525" cap="flat" cmpd="sng">
                              <a:solidFill>
                                <a:srgbClr val="000000"/>
                              </a:solidFill>
                              <a:prstDash val="dash"/>
                              <a:miter/>
                              <a:headEnd type="none" w="med" len="med"/>
                              <a:tailEnd type="none" w="med" len="med"/>
                            </a:ln>
                          </wps:spPr>
                          <wps:bodyPr wrap="square" upright="1"/>
                        </wps:wsp>
                        <wps:wsp>
                          <wps:cNvPr id="12" name="Line 164"/>
                          <wps:cNvCnPr/>
                          <wps:spPr>
                            <a:xfrm flipH="1">
                              <a:off x="2517" y="2913"/>
                              <a:ext cx="278" cy="282"/>
                            </a:xfrm>
                            <a:prstGeom prst="line">
                              <a:avLst/>
                            </a:prstGeom>
                            <a:ln w="9525" cap="flat" cmpd="sng">
                              <a:solidFill>
                                <a:srgbClr val="000000"/>
                              </a:solidFill>
                              <a:prstDash val="solid"/>
                              <a:headEnd type="none" w="med" len="med"/>
                              <a:tailEnd type="none" w="med" len="med"/>
                            </a:ln>
                          </wps:spPr>
                          <wps:bodyPr upright="1"/>
                        </wps:wsp>
                        <wps:wsp>
                          <wps:cNvPr id="13" name="Line 165"/>
                          <wps:cNvCnPr/>
                          <wps:spPr>
                            <a:xfrm>
                              <a:off x="2550" y="2923"/>
                              <a:ext cx="268" cy="270"/>
                            </a:xfrm>
                            <a:prstGeom prst="line">
                              <a:avLst/>
                            </a:prstGeom>
                            <a:ln w="9525" cap="flat" cmpd="sng">
                              <a:solidFill>
                                <a:srgbClr val="000000"/>
                              </a:solidFill>
                              <a:prstDash val="solid"/>
                              <a:headEnd type="none" w="med" len="med"/>
                              <a:tailEnd type="none" w="med" len="med"/>
                            </a:ln>
                          </wps:spPr>
                          <wps:bodyPr upright="1"/>
                        </wps:wsp>
                        <wps:wsp>
                          <wps:cNvPr id="14" name="AutoShape 166"/>
                          <wps:cNvSpPr/>
                          <wps:spPr>
                            <a:xfrm>
                              <a:off x="3773" y="1188"/>
                              <a:ext cx="2340" cy="468"/>
                            </a:xfrm>
                            <a:prstGeom prst="roundRect">
                              <a:avLst>
                                <a:gd name="adj" fmla="val 16667"/>
                              </a:avLst>
                            </a:prstGeom>
                            <a:solidFill>
                              <a:srgbClr val="FFFFFF"/>
                            </a:solidFill>
                            <a:ln w="9525" cap="flat" cmpd="sng">
                              <a:solidFill>
                                <a:srgbClr val="000000"/>
                              </a:solidFill>
                              <a:prstDash val="solid"/>
                              <a:headEnd type="none" w="med" len="med"/>
                              <a:tailEnd type="none" w="med" len="med"/>
                            </a:ln>
                            <a:effectLst>
                              <a:outerShdw dist="35921" dir="2699999" algn="ctr" rotWithShape="0">
                                <a:srgbClr val="808080"/>
                              </a:outerShdw>
                            </a:effectLst>
                          </wps:spPr>
                          <wps:txbx>
                            <w:txbxContent>
                              <w:p>
                                <w:pPr>
                                  <w:jc w:val="center"/>
                                  <w:rPr>
                                    <w:sz w:val="15"/>
                                    <w:szCs w:val="15"/>
                                  </w:rPr>
                                </w:pPr>
                                <w:r>
                                  <w:rPr>
                                    <w:rFonts w:hint="eastAsia"/>
                                    <w:sz w:val="15"/>
                                    <w:szCs w:val="15"/>
                                  </w:rPr>
                                  <w:t>“科层-合作”制</w:t>
                                </w:r>
                              </w:p>
                            </w:txbxContent>
                          </wps:txbx>
                          <wps:bodyPr wrap="square" upright="1"/>
                        </wps:wsp>
                        <wps:wsp>
                          <wps:cNvPr id="15" name="AutoShape 167"/>
                          <wps:cNvSpPr/>
                          <wps:spPr>
                            <a:xfrm>
                              <a:off x="4794" y="1716"/>
                              <a:ext cx="179" cy="624"/>
                            </a:xfrm>
                            <a:prstGeom prst="upDownArrow">
                              <a:avLst>
                                <a:gd name="adj1" fmla="val 50000"/>
                                <a:gd name="adj2" fmla="val 69720"/>
                              </a:avLst>
                            </a:prstGeom>
                            <a:noFill/>
                            <a:ln w="9525" cap="flat" cmpd="sng">
                              <a:solidFill>
                                <a:srgbClr val="000000"/>
                              </a:solidFill>
                              <a:prstDash val="dash"/>
                              <a:miter/>
                              <a:headEnd type="none" w="med" len="med"/>
                              <a:tailEnd type="none" w="med" len="med"/>
                            </a:ln>
                          </wps:spPr>
                          <wps:bodyPr vert="eaVert" wrap="square" upright="1"/>
                        </wps:wsp>
                        <wps:wsp>
                          <wps:cNvPr id="16" name="Rectangle 168"/>
                          <wps:cNvSpPr/>
                          <wps:spPr>
                            <a:xfrm>
                              <a:off x="4793" y="1716"/>
                              <a:ext cx="900" cy="468"/>
                            </a:xfrm>
                            <a:prstGeom prst="rect">
                              <a:avLst/>
                            </a:prstGeom>
                            <a:noFill/>
                            <a:ln>
                              <a:noFill/>
                            </a:ln>
                          </wps:spPr>
                          <wps:txbx>
                            <w:txbxContent>
                              <w:p>
                                <w:pPr>
                                  <w:jc w:val="center"/>
                                  <w:rPr>
                                    <w:rFonts w:hint="eastAsia"/>
                                    <w:sz w:val="15"/>
                                    <w:szCs w:val="15"/>
                                  </w:rPr>
                                </w:pPr>
                                <w:r>
                                  <w:rPr>
                                    <w:rFonts w:hint="eastAsia"/>
                                    <w:sz w:val="15"/>
                                    <w:szCs w:val="15"/>
                                  </w:rPr>
                                  <w:t>相符</w:t>
                                </w:r>
                              </w:p>
                            </w:txbxContent>
                          </wps:txbx>
                          <wps:bodyPr wrap="square" upright="1"/>
                        </wps:wsp>
                        <wps:wsp>
                          <wps:cNvPr id="17" name="AutoShape 169"/>
                          <wps:cNvSpPr/>
                          <wps:spPr>
                            <a:xfrm>
                              <a:off x="4493" y="1716"/>
                              <a:ext cx="180" cy="624"/>
                            </a:xfrm>
                            <a:prstGeom prst="upArrow">
                              <a:avLst>
                                <a:gd name="adj1" fmla="val 50000"/>
                                <a:gd name="adj2" fmla="val 86666"/>
                              </a:avLst>
                            </a:prstGeom>
                            <a:solidFill>
                              <a:srgbClr val="FFFFFF"/>
                            </a:solidFill>
                            <a:ln w="9525" cap="flat" cmpd="sng">
                              <a:solidFill>
                                <a:srgbClr val="000000"/>
                              </a:solidFill>
                              <a:prstDash val="solid"/>
                              <a:miter/>
                              <a:headEnd type="none" w="med" len="med"/>
                              <a:tailEnd type="none" w="med" len="med"/>
                            </a:ln>
                          </wps:spPr>
                          <wps:bodyPr vert="eaVert" wrap="square" upright="1"/>
                        </wps:wsp>
                        <wps:wsp>
                          <wps:cNvPr id="18" name="Rectangle 170"/>
                          <wps:cNvSpPr/>
                          <wps:spPr>
                            <a:xfrm>
                              <a:off x="3773" y="1716"/>
                              <a:ext cx="900" cy="468"/>
                            </a:xfrm>
                            <a:prstGeom prst="rect">
                              <a:avLst/>
                            </a:prstGeom>
                            <a:noFill/>
                            <a:ln>
                              <a:noFill/>
                            </a:ln>
                          </wps:spPr>
                          <wps:txbx>
                            <w:txbxContent>
                              <w:p>
                                <w:pPr>
                                  <w:jc w:val="center"/>
                                  <w:rPr>
                                    <w:rFonts w:hint="eastAsia"/>
                                    <w:sz w:val="15"/>
                                    <w:szCs w:val="15"/>
                                  </w:rPr>
                                </w:pPr>
                                <w:r>
                                  <w:rPr>
                                    <w:rFonts w:hint="eastAsia"/>
                                    <w:sz w:val="15"/>
                                    <w:szCs w:val="15"/>
                                  </w:rPr>
                                  <w:t>弥补</w:t>
                                </w:r>
                              </w:p>
                            </w:txbxContent>
                          </wps:txbx>
                          <wps:bodyPr wrap="square" upright="1"/>
                        </wps:wsp>
                        <wps:wsp>
                          <wps:cNvPr id="19" name="Line 171"/>
                          <wps:cNvCnPr/>
                          <wps:spPr>
                            <a:xfrm>
                              <a:off x="5753" y="1716"/>
                              <a:ext cx="1" cy="2652"/>
                            </a:xfrm>
                            <a:prstGeom prst="line">
                              <a:avLst/>
                            </a:prstGeom>
                            <a:ln w="9525" cap="flat" cmpd="sng">
                              <a:solidFill>
                                <a:srgbClr val="000000"/>
                              </a:solidFill>
                              <a:prstDash val="solid"/>
                              <a:headEnd type="none" w="med" len="med"/>
                              <a:tailEnd type="triangle" w="med" len="med"/>
                            </a:ln>
                          </wps:spPr>
                          <wps:bodyPr upright="1"/>
                        </wps:wsp>
                        <wps:wsp>
                          <wps:cNvPr id="20" name="Rectangle 172"/>
                          <wps:cNvSpPr/>
                          <wps:spPr>
                            <a:xfrm>
                              <a:off x="5573" y="2652"/>
                              <a:ext cx="900" cy="468"/>
                            </a:xfrm>
                            <a:prstGeom prst="rect">
                              <a:avLst/>
                            </a:prstGeom>
                            <a:noFill/>
                            <a:ln>
                              <a:noFill/>
                            </a:ln>
                          </wps:spPr>
                          <wps:txbx>
                            <w:txbxContent>
                              <w:p>
                                <w:pPr>
                                  <w:jc w:val="center"/>
                                  <w:rPr>
                                    <w:rFonts w:hint="eastAsia"/>
                                    <w:sz w:val="15"/>
                                    <w:szCs w:val="15"/>
                                  </w:rPr>
                                </w:pPr>
                                <w:r>
                                  <w:rPr>
                                    <w:rFonts w:hint="eastAsia"/>
                                    <w:sz w:val="15"/>
                                    <w:szCs w:val="15"/>
                                  </w:rPr>
                                  <w:t>满足</w:t>
                                </w:r>
                              </w:p>
                            </w:txbxContent>
                          </wps:txbx>
                          <wps:bodyPr wrap="square" upright="1"/>
                        </wps:wsp>
                        <wps:wsp>
                          <wps:cNvPr id="21" name="Rectangle 173"/>
                          <wps:cNvSpPr/>
                          <wps:spPr>
                            <a:xfrm>
                              <a:off x="3548" y="579"/>
                              <a:ext cx="1440" cy="468"/>
                            </a:xfrm>
                            <a:prstGeom prst="rect">
                              <a:avLst/>
                            </a:prstGeom>
                            <a:noFill/>
                            <a:ln>
                              <a:noFill/>
                            </a:ln>
                          </wps:spPr>
                          <wps:txbx>
                            <w:txbxContent>
                              <w:p>
                                <w:pPr>
                                  <w:jc w:val="center"/>
                                  <w:rPr>
                                    <w:rFonts w:hint="eastAsia"/>
                                    <w:sz w:val="15"/>
                                    <w:szCs w:val="15"/>
                                  </w:rPr>
                                </w:pPr>
                                <w:r>
                                  <w:rPr>
                                    <w:rFonts w:hint="eastAsia"/>
                                    <w:sz w:val="15"/>
                                    <w:szCs w:val="15"/>
                                  </w:rPr>
                                  <w:t>管理体制改进</w:t>
                                </w:r>
                              </w:p>
                            </w:txbxContent>
                          </wps:txbx>
                          <wps:bodyPr wrap="square" upright="1"/>
                        </wps:wsp>
                        <wps:wsp>
                          <wps:cNvPr id="22" name="AutoShape 174"/>
                          <wps:cNvSpPr/>
                          <wps:spPr>
                            <a:xfrm>
                              <a:off x="1433" y="468"/>
                              <a:ext cx="540" cy="156"/>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3" name="AutoShape 175"/>
                          <wps:cNvSpPr/>
                          <wps:spPr>
                            <a:xfrm rot="16200000">
                              <a:off x="2381" y="2190"/>
                              <a:ext cx="624" cy="180"/>
                            </a:xfrm>
                            <a:custGeom>
                              <a:avLst/>
                              <a:gdLst>
                                <a:gd name="txL" fmla="*/ 3375 w 21600"/>
                                <a:gd name="txT" fmla="*/ 5400 h 21600"/>
                                <a:gd name="txR" fmla="*/ 18900 w 21600"/>
                                <a:gd name="txB" fmla="*/ 16200 h 21600"/>
                              </a:gdLst>
                              <a:ahLst/>
                              <a:cxnLst>
                                <a:cxn ang="270">
                                  <a:pos x="16200" y="0"/>
                                </a:cxn>
                                <a:cxn ang="180">
                                  <a:pos x="0" y="10800"/>
                                </a:cxn>
                                <a:cxn ang="90">
                                  <a:pos x="16200" y="21600"/>
                                </a:cxn>
                                <a:cxn ang="0">
                                  <a:pos x="21600" y="10800"/>
                                </a:cxn>
                              </a:cxnLst>
                              <a:rect l="txL" t="txT" r="txR" b="txB"/>
                              <a:pathLst>
                                <a:path w="21600" h="21600">
                                  <a:moveTo>
                                    <a:pt x="16200" y="0"/>
                                  </a:moveTo>
                                  <a:lnTo>
                                    <a:pt x="16200" y="5400"/>
                                  </a:lnTo>
                                  <a:lnTo>
                                    <a:pt x="3375" y="5400"/>
                                  </a:lnTo>
                                  <a:lnTo>
                                    <a:pt x="3375" y="16200"/>
                                  </a:lnTo>
                                  <a:lnTo>
                                    <a:pt x="16200" y="16200"/>
                                  </a:lnTo>
                                  <a:lnTo>
                                    <a:pt x="16200" y="21600"/>
                                  </a:lnTo>
                                  <a:lnTo>
                                    <a:pt x="21600" y="10800"/>
                                  </a:lnTo>
                                  <a:close/>
                                </a:path>
                                <a:path w="21600" h="21600">
                                  <a:moveTo>
                                    <a:pt x="1350" y="5400"/>
                                  </a:moveTo>
                                  <a:lnTo>
                                    <a:pt x="1350" y="16200"/>
                                  </a:lnTo>
                                  <a:lnTo>
                                    <a:pt x="2700" y="16200"/>
                                  </a:lnTo>
                                  <a:lnTo>
                                    <a:pt x="2700" y="5400"/>
                                  </a:lnTo>
                                  <a:close/>
                                </a:path>
                                <a:path w="21600" h="21600">
                                  <a:moveTo>
                                    <a:pt x="0" y="5400"/>
                                  </a:moveTo>
                                  <a:lnTo>
                                    <a:pt x="0" y="16200"/>
                                  </a:lnTo>
                                  <a:lnTo>
                                    <a:pt x="675" y="16200"/>
                                  </a:lnTo>
                                  <a:lnTo>
                                    <a:pt x="675" y="5400"/>
                                  </a:lnTo>
                                  <a:close/>
                                </a:path>
                              </a:pathLst>
                            </a:custGeom>
                            <a:solidFill>
                              <a:srgbClr val="FFFFFF"/>
                            </a:solidFill>
                            <a:ln w="9525" cap="flat" cmpd="sng">
                              <a:solidFill>
                                <a:srgbClr val="000000"/>
                              </a:solidFill>
                              <a:prstDash val="solid"/>
                              <a:miter/>
                              <a:headEnd type="none" w="med" len="med"/>
                              <a:tailEnd type="none" w="med" len="med"/>
                            </a:ln>
                          </wps:spPr>
                          <wps:bodyPr wrap="square" upright="1"/>
                        </wps:wsp>
                        <wps:wsp>
                          <wps:cNvPr id="24" name="Line 176"/>
                          <wps:cNvCnPr/>
                          <wps:spPr>
                            <a:xfrm flipH="1">
                              <a:off x="6473" y="238"/>
                              <a:ext cx="4" cy="4130"/>
                            </a:xfrm>
                            <a:prstGeom prst="line">
                              <a:avLst/>
                            </a:prstGeom>
                            <a:ln w="9525" cap="flat" cmpd="sng">
                              <a:solidFill>
                                <a:srgbClr val="000000"/>
                              </a:solidFill>
                              <a:prstDash val="solid"/>
                              <a:headEnd type="none" w="med" len="med"/>
                              <a:tailEnd type="triangle" w="med" len="med"/>
                            </a:ln>
                          </wps:spPr>
                          <wps:bodyPr upright="1"/>
                        </wps:wsp>
                        <wps:wsp>
                          <wps:cNvPr id="25" name="Line 177"/>
                          <wps:cNvCnPr/>
                          <wps:spPr>
                            <a:xfrm>
                              <a:off x="3356" y="231"/>
                              <a:ext cx="3117" cy="1"/>
                            </a:xfrm>
                            <a:prstGeom prst="line">
                              <a:avLst/>
                            </a:prstGeom>
                            <a:ln w="9525" cap="flat" cmpd="sng">
                              <a:solidFill>
                                <a:srgbClr val="000000"/>
                              </a:solidFill>
                              <a:prstDash val="solid"/>
                              <a:headEnd type="none" w="med" len="med"/>
                              <a:tailEnd type="none" w="med" len="med"/>
                            </a:ln>
                          </wps:spPr>
                          <wps:bodyPr upright="1"/>
                        </wps:wsp>
                        <wps:wsp>
                          <wps:cNvPr id="26" name="Line 178"/>
                          <wps:cNvCnPr/>
                          <wps:spPr>
                            <a:xfrm flipV="1">
                              <a:off x="4313" y="3744"/>
                              <a:ext cx="1" cy="624"/>
                            </a:xfrm>
                            <a:prstGeom prst="line">
                              <a:avLst/>
                            </a:prstGeom>
                            <a:ln w="9525" cap="flat" cmpd="sng">
                              <a:solidFill>
                                <a:srgbClr val="000000"/>
                              </a:solidFill>
                              <a:prstDash val="solid"/>
                              <a:headEnd type="none" w="med" len="med"/>
                              <a:tailEnd type="triangle" w="med" len="med"/>
                            </a:ln>
                          </wps:spPr>
                          <wps:bodyPr upright="1"/>
                        </wps:wsp>
                        <wps:wsp>
                          <wps:cNvPr id="27" name="Line 179"/>
                          <wps:cNvCnPr/>
                          <wps:spPr>
                            <a:xfrm>
                              <a:off x="3581" y="553"/>
                              <a:ext cx="13" cy="851"/>
                            </a:xfrm>
                            <a:prstGeom prst="line">
                              <a:avLst/>
                            </a:prstGeom>
                            <a:ln w="9525" cap="flat" cmpd="sng">
                              <a:solidFill>
                                <a:srgbClr val="000000"/>
                              </a:solidFill>
                              <a:prstDash val="solid"/>
                              <a:headEnd type="none" w="med" len="med"/>
                              <a:tailEnd type="none" w="med" len="med"/>
                            </a:ln>
                          </wps:spPr>
                          <wps:bodyPr upright="1"/>
                        </wps:wsp>
                        <wps:wsp>
                          <wps:cNvPr id="28" name="Line 180"/>
                          <wps:cNvCnPr/>
                          <wps:spPr>
                            <a:xfrm>
                              <a:off x="3413" y="1404"/>
                              <a:ext cx="180" cy="0"/>
                            </a:xfrm>
                            <a:prstGeom prst="line">
                              <a:avLst/>
                            </a:prstGeom>
                            <a:ln w="9525" cap="flat" cmpd="sng">
                              <a:solidFill>
                                <a:srgbClr val="000000"/>
                              </a:solidFill>
                              <a:prstDash val="solid"/>
                              <a:headEnd type="none" w="med" len="med"/>
                              <a:tailEnd type="none" w="med" len="med"/>
                            </a:ln>
                          </wps:spPr>
                          <wps:bodyPr upright="1"/>
                        </wps:wsp>
                        <wps:wsp>
                          <wps:cNvPr id="29" name="Line 181"/>
                          <wps:cNvCnPr/>
                          <wps:spPr>
                            <a:xfrm>
                              <a:off x="3593" y="936"/>
                              <a:ext cx="1080" cy="1"/>
                            </a:xfrm>
                            <a:prstGeom prst="line">
                              <a:avLst/>
                            </a:prstGeom>
                            <a:ln w="9525" cap="flat" cmpd="sng">
                              <a:solidFill>
                                <a:srgbClr val="000000"/>
                              </a:solidFill>
                              <a:prstDash val="solid"/>
                              <a:headEnd type="none" w="med" len="med"/>
                              <a:tailEnd type="none" w="med" len="med"/>
                            </a:ln>
                          </wps:spPr>
                          <wps:bodyPr upright="1"/>
                        </wps:wsp>
                        <wps:wsp>
                          <wps:cNvPr id="30" name="Line 182"/>
                          <wps:cNvCnPr/>
                          <wps:spPr>
                            <a:xfrm>
                              <a:off x="4673" y="936"/>
                              <a:ext cx="1" cy="312"/>
                            </a:xfrm>
                            <a:prstGeom prst="line">
                              <a:avLst/>
                            </a:prstGeom>
                            <a:ln w="9525" cap="flat" cmpd="sng">
                              <a:solidFill>
                                <a:srgbClr val="000000"/>
                              </a:solidFill>
                              <a:prstDash val="solid"/>
                              <a:headEnd type="none" w="med" len="med"/>
                              <a:tailEnd type="triangle" w="med" len="med"/>
                            </a:ln>
                          </wps:spPr>
                          <wps:bodyPr upright="1"/>
                        </wps:wsp>
                        <wps:wsp>
                          <wps:cNvPr id="31" name="Rectangle 183"/>
                          <wps:cNvSpPr/>
                          <wps:spPr>
                            <a:xfrm>
                              <a:off x="240" y="936"/>
                              <a:ext cx="833" cy="750"/>
                            </a:xfrm>
                            <a:prstGeom prst="rect">
                              <a:avLst/>
                            </a:prstGeom>
                            <a:noFill/>
                            <a:ln>
                              <a:noFill/>
                            </a:ln>
                          </wps:spPr>
                          <wps:txbx>
                            <w:txbxContent>
                              <w:p>
                                <w:pPr>
                                  <w:jc w:val="center"/>
                                  <w:rPr>
                                    <w:rFonts w:hint="eastAsia"/>
                                    <w:sz w:val="15"/>
                                    <w:szCs w:val="15"/>
                                  </w:rPr>
                                </w:pPr>
                                <w:r>
                                  <w:rPr>
                                    <w:rFonts w:hint="eastAsia"/>
                                    <w:sz w:val="15"/>
                                    <w:szCs w:val="15"/>
                                  </w:rPr>
                                  <w:t>高效</w:t>
                                </w:r>
                              </w:p>
                              <w:p>
                                <w:pPr>
                                  <w:jc w:val="center"/>
                                  <w:rPr>
                                    <w:rFonts w:hint="eastAsia"/>
                                    <w:sz w:val="18"/>
                                    <w:szCs w:val="18"/>
                                  </w:rPr>
                                </w:pPr>
                                <w:r>
                                  <w:rPr>
                                    <w:rFonts w:hint="eastAsia"/>
                                    <w:sz w:val="15"/>
                                    <w:szCs w:val="15"/>
                                  </w:rPr>
                                  <w:t>适用</w:t>
                                </w:r>
                              </w:p>
                            </w:txbxContent>
                          </wps:txbx>
                          <wps:bodyPr wrap="square" upright="1"/>
                        </wps:wsp>
                        <wps:wsp>
                          <wps:cNvPr id="32" name="Rectangle 184"/>
                          <wps:cNvSpPr/>
                          <wps:spPr>
                            <a:xfrm>
                              <a:off x="6353" y="1872"/>
                              <a:ext cx="720" cy="780"/>
                            </a:xfrm>
                            <a:prstGeom prst="rect">
                              <a:avLst/>
                            </a:prstGeom>
                            <a:noFill/>
                            <a:ln>
                              <a:noFill/>
                            </a:ln>
                          </wps:spPr>
                          <wps:txbx>
                            <w:txbxContent>
                              <w:p>
                                <w:pPr>
                                  <w:jc w:val="center"/>
                                  <w:rPr>
                                    <w:rFonts w:hint="eastAsia"/>
                                    <w:sz w:val="18"/>
                                    <w:szCs w:val="18"/>
                                  </w:rPr>
                                </w:pPr>
                                <w:r>
                                  <w:rPr>
                                    <w:rFonts w:hint="eastAsia"/>
                                    <w:sz w:val="15"/>
                                    <w:szCs w:val="15"/>
                                  </w:rPr>
                                  <w:t>目标需求</w:t>
                                </w:r>
                              </w:p>
                            </w:txbxContent>
                          </wps:txbx>
                          <wps:bodyPr wrap="square" upright="1"/>
                        </wps:wsp>
                        <wpg:grpSp>
                          <wpg:cNvPr id="35" name="Group 185"/>
                          <wpg:cNvGrpSpPr/>
                          <wpg:grpSpPr>
                            <a:xfrm>
                              <a:off x="173" y="312"/>
                              <a:ext cx="1380" cy="468"/>
                              <a:chOff x="0" y="0"/>
                              <a:chExt cx="1380" cy="468"/>
                            </a:xfrm>
                          </wpg:grpSpPr>
                          <wps:wsp>
                            <wps:cNvPr id="33" name="Oval 186"/>
                            <wps:cNvSpPr/>
                            <wps:spPr>
                              <a:xfrm>
                                <a:off x="0" y="0"/>
                                <a:ext cx="1260" cy="468"/>
                              </a:xfrm>
                              <a:prstGeom prst="ellipse">
                                <a:avLst/>
                              </a:prstGeom>
                              <a:solidFill>
                                <a:srgbClr val="969696"/>
                              </a:solidFill>
                              <a:ln w="9525" cap="flat" cmpd="sng">
                                <a:solidFill>
                                  <a:srgbClr val="000000"/>
                                </a:solidFill>
                                <a:prstDash val="solid"/>
                                <a:headEnd type="none" w="med" len="med"/>
                                <a:tailEnd type="none" w="med" len="med"/>
                              </a:ln>
                            </wps:spPr>
                            <wps:bodyPr wrap="square" upright="1"/>
                          </wps:wsp>
                          <wps:wsp>
                            <wps:cNvPr id="34" name="Rectangle 187"/>
                            <wps:cNvSpPr/>
                            <wps:spPr>
                              <a:xfrm>
                                <a:off x="120" y="0"/>
                                <a:ext cx="126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常态环境</w:t>
                                  </w:r>
                                </w:p>
                              </w:txbxContent>
                            </wps:txbx>
                            <wps:bodyPr wrap="square" upright="1"/>
                          </wps:wsp>
                        </wpg:grpSp>
                        <wpg:grpSp>
                          <wpg:cNvPr id="39" name="Group 188"/>
                          <wpg:cNvGrpSpPr/>
                          <wpg:grpSpPr>
                            <a:xfrm>
                              <a:off x="1973" y="0"/>
                              <a:ext cx="1620" cy="936"/>
                              <a:chOff x="0" y="0"/>
                              <a:chExt cx="1620" cy="780"/>
                            </a:xfrm>
                          </wpg:grpSpPr>
                          <wps:wsp>
                            <wps:cNvPr id="36" name="AutoShape 189"/>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37" name="Line 190"/>
                            <wps:cNvCnPr/>
                            <wps:spPr>
                              <a:xfrm>
                                <a:off x="1440" y="468"/>
                                <a:ext cx="180" cy="0"/>
                              </a:xfrm>
                              <a:prstGeom prst="line">
                                <a:avLst/>
                              </a:prstGeom>
                              <a:ln w="9525" cap="flat" cmpd="sng">
                                <a:solidFill>
                                  <a:srgbClr val="000000"/>
                                </a:solidFill>
                                <a:prstDash val="solid"/>
                                <a:headEnd type="none" w="med" len="med"/>
                                <a:tailEnd type="none" w="med" len="med"/>
                              </a:ln>
                            </wps:spPr>
                            <wps:bodyPr upright="1"/>
                          </wps:wsp>
                          <wps:wsp>
                            <wps:cNvPr id="38" name="Rectangle 191"/>
                            <wps:cNvSpPr/>
                            <wps:spPr>
                              <a:xfrm>
                                <a:off x="180" y="156"/>
                                <a:ext cx="108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应急环境</w:t>
                                  </w:r>
                                </w:p>
                              </w:txbxContent>
                            </wps:txbx>
                            <wps:bodyPr wrap="square" upright="1"/>
                          </wps:wsp>
                        </wpg:grpSp>
                        <wpg:grpSp>
                          <wpg:cNvPr id="42" name="Group 192"/>
                          <wpg:cNvGrpSpPr/>
                          <wpg:grpSpPr>
                            <a:xfrm>
                              <a:off x="1973" y="1092"/>
                              <a:ext cx="1440" cy="780"/>
                              <a:chOff x="0" y="0"/>
                              <a:chExt cx="1440" cy="780"/>
                            </a:xfrm>
                          </wpg:grpSpPr>
                          <wps:wsp>
                            <wps:cNvPr id="40" name="AutoShape 193"/>
                            <wps:cNvSpPr/>
                            <wps:spPr>
                              <a:xfrm>
                                <a:off x="0" y="0"/>
                                <a:ext cx="1440" cy="780"/>
                              </a:xfrm>
                              <a:prstGeom prst="irregularSeal1">
                                <a:avLst/>
                              </a:prstGeom>
                              <a:solidFill>
                                <a:srgbClr val="969696"/>
                              </a:solidFill>
                              <a:ln w="9525" cap="flat" cmpd="sng">
                                <a:solidFill>
                                  <a:srgbClr val="000000"/>
                                </a:solidFill>
                                <a:prstDash val="solid"/>
                                <a:miter/>
                                <a:headEnd type="none" w="med" len="med"/>
                                <a:tailEnd type="none" w="med" len="med"/>
                              </a:ln>
                            </wps:spPr>
                            <wps:bodyPr wrap="square" upright="1"/>
                          </wps:wsp>
                          <wps:wsp>
                            <wps:cNvPr id="41" name="Rectangle 194"/>
                            <wps:cNvSpPr/>
                            <wps:spPr>
                              <a:xfrm>
                                <a:off x="180" y="156"/>
                                <a:ext cx="1080" cy="468"/>
                              </a:xfrm>
                              <a:prstGeom prst="rect">
                                <a:avLst/>
                              </a:prstGeom>
                              <a:noFill/>
                              <a:ln>
                                <a:noFill/>
                              </a:ln>
                            </wps:spPr>
                            <wps:txbx>
                              <w:txbxContent>
                                <w:p>
                                  <w:pPr>
                                    <w:rPr>
                                      <w:rFonts w:hint="eastAsia" w:ascii="宋体" w:hAnsi="宋体" w:cs="宋体"/>
                                      <w:sz w:val="15"/>
                                      <w:szCs w:val="15"/>
                                    </w:rPr>
                                  </w:pPr>
                                  <w:r>
                                    <w:rPr>
                                      <w:rFonts w:hint="eastAsia" w:ascii="宋体" w:hAnsi="宋体" w:cs="宋体"/>
                                      <w:sz w:val="15"/>
                                      <w:szCs w:val="15"/>
                                    </w:rPr>
                                    <w:t>管理混沌</w:t>
                                  </w:r>
                                </w:p>
                              </w:txbxContent>
                            </wps:txbx>
                            <wps:bodyPr wrap="square" upright="1"/>
                          </wps:wsp>
                        </wpg:grpSp>
                        <wps:wsp>
                          <wps:cNvPr id="43" name="Line 195"/>
                          <wps:cNvCnPr/>
                          <wps:spPr>
                            <a:xfrm flipV="1">
                              <a:off x="893" y="780"/>
                              <a:ext cx="0" cy="1092"/>
                            </a:xfrm>
                            <a:prstGeom prst="line">
                              <a:avLst/>
                            </a:prstGeom>
                            <a:ln w="9525" cap="flat" cmpd="sng">
                              <a:solidFill>
                                <a:srgbClr val="000000"/>
                              </a:solidFill>
                              <a:prstDash val="dash"/>
                              <a:headEnd type="none" w="med" len="med"/>
                              <a:tailEnd type="triangle" w="med" len="med"/>
                            </a:ln>
                          </wps:spPr>
                          <wps:bodyPr upright="1"/>
                        </wps:wsp>
                        <wps:wsp>
                          <wps:cNvPr id="44" name="Line 196"/>
                          <wps:cNvCnPr/>
                          <wps:spPr>
                            <a:xfrm flipH="1">
                              <a:off x="3353" y="397"/>
                              <a:ext cx="1773" cy="6"/>
                            </a:xfrm>
                            <a:prstGeom prst="line">
                              <a:avLst/>
                            </a:prstGeom>
                            <a:ln w="9525" cap="flat" cmpd="sng">
                              <a:solidFill>
                                <a:srgbClr val="000000"/>
                              </a:solidFill>
                              <a:prstDash val="dash"/>
                              <a:headEnd type="none" w="med" len="med"/>
                              <a:tailEnd type="triangle" w="med" len="med"/>
                            </a:ln>
                          </wps:spPr>
                          <wps:bodyPr upright="1"/>
                        </wps:wsp>
                        <wps:wsp>
                          <wps:cNvPr id="45" name="Line 197"/>
                          <wps:cNvCnPr/>
                          <wps:spPr>
                            <a:xfrm>
                              <a:off x="5138" y="402"/>
                              <a:ext cx="1" cy="780"/>
                            </a:xfrm>
                            <a:prstGeom prst="line">
                              <a:avLst/>
                            </a:prstGeom>
                            <a:ln w="9525" cap="flat" cmpd="sng">
                              <a:solidFill>
                                <a:srgbClr val="000000"/>
                              </a:solidFill>
                              <a:prstDash val="dash"/>
                              <a:headEnd type="none" w="med" len="med"/>
                              <a:tailEnd type="none" w="med" len="med"/>
                            </a:ln>
                          </wps:spPr>
                          <wps:bodyPr upright="1"/>
                        </wps:wsp>
                        <wps:wsp>
                          <wps:cNvPr id="46" name="Rectangle 198"/>
                          <wps:cNvSpPr/>
                          <wps:spPr>
                            <a:xfrm>
                              <a:off x="4943" y="534"/>
                              <a:ext cx="833" cy="423"/>
                            </a:xfrm>
                            <a:prstGeom prst="rect">
                              <a:avLst/>
                            </a:prstGeom>
                            <a:noFill/>
                            <a:ln>
                              <a:noFill/>
                            </a:ln>
                          </wps:spPr>
                          <wps:txbx>
                            <w:txbxContent>
                              <w:p>
                                <w:pPr>
                                  <w:jc w:val="center"/>
                                  <w:rPr>
                                    <w:rFonts w:hint="eastAsia"/>
                                    <w:sz w:val="15"/>
                                    <w:szCs w:val="15"/>
                                  </w:rPr>
                                </w:pPr>
                                <w:r>
                                  <w:rPr>
                                    <w:rFonts w:hint="eastAsia"/>
                                    <w:sz w:val="15"/>
                                    <w:szCs w:val="15"/>
                                  </w:rPr>
                                  <w:t>适用</w:t>
                                </w:r>
                              </w:p>
                            </w:txbxContent>
                          </wps:txbx>
                          <wps:bodyPr wrap="square" upright="1"/>
                        </wps:wsp>
                      </wpg:grpSp>
                    </wpg:wgp>
                  </a:graphicData>
                </a:graphic>
              </wp:inline>
            </w:drawing>
          </mc:Choice>
          <mc:Fallback>
            <w:pict>
              <v:group id="Group 151" o:spid="_x0000_s1026" o:spt="203" style="height:241.8pt;width:353.65pt;" coordsize="7073,4836" o:gfxdata="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">
                <o:lock v:ext="edit" aspectratio="f"/>
                <v:rect id="Picture 152" o:spid="_x0000_s1026" o:spt="1" style="position:absolute;left:0;top:0;height:4836;width:7073;" filled="f" stroked="f" coordsize="21600,21600" o:gfxdata="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MOClNugAAANoA&#10;AAAPAAAAAAAAAAEAIAAAACIAAABkcnMvZG93bnJldi54bWxQSwECFAAUAAAACACHTuJAMy8FnjsA&#10;AAA5AAAAEAAAAAAAAAABACAAAAAJAQAAZHJzL3NoYXBleG1sLnhtbFBLBQYAAAAABgAGAFsBAACz&#10;AwAAAAA=&#10;">
                  <v:fill on="f" focussize="0,0"/>
                  <v:stroke on="f"/>
                  <v:imagedata o:title=""/>
                  <o:lock v:ext="edit" text="t" aspectratio="t"/>
                </v:rect>
                <v:group id="Group 153" o:spid="_x0000_s1026" o:spt="203" style="position:absolute;left:0;top:0;height:4836;width:7073;" coordsize="7073,4836" o:gfxdata="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uVCZ8vwAAANsAAAAPAAAAAAAAAAEAIAAAACIAAABkcnMvZG93bnJldi54&#10;bWxQSwECFAAUAAAACACHTuJAMy8FnjsAAAA5AAAAFQAAAAAAAAABACAAAAAOAQAAZHJzL2dyb3Vw&#10;c2hhcGV4bWwueG1sUEsFBgAAAAAGAAYAYAEAAMsDAAAAAA==&#10;">
                  <o:lock v:ext="edit" aspectratio="f"/>
                  <v:roundrect id="AutoShape 154" o:spid="_x0000_s1026" o:spt="2" style="position:absolute;left:0;top:1872;height:2028;width:1980;" fillcolor="#FFFFFF" filled="t" stroked="t" coordsize="21600,21600" arcsize="0.11537037037037" o:gfxdata="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r/UL28AAAA&#10;2gAAAA8AAAAAAAAAAQAgAAAAIgAAAGRycy9kb3ducmV2LnhtbFBLAQIUABQAAAAIAIdO4kAzLwWe&#10;OwAAADkAAAAQAAAAAAAAAAEAIAAAAAsBAABkcnMvc2hhcGV4bWwueG1sUEsFBgAAAAAGAAYAWwEA&#10;ALUDAAAAAA==&#10;">
                    <v:fill on="t" focussize="0,0"/>
                    <v:stroke color="#000000" joinstyle="round"/>
                    <v:imagedata o:title=""/>
                    <o:lock v:ext="edit" aspectratio="f"/>
                    <v:shadow on="t" color="#808080" offset="2pt,2pt" origin="0f,0f" matrix="65536f,0f,0f,65536f"/>
                  </v:roundrect>
                  <v:rect id="Rectangle 155" o:spid="_x0000_s1026" o:spt="1" style="position:absolute;left:180;top:2340;height:1404;width:1620;" fillcolor="#FFFFFF" filled="t" stroked="t" coordsize="21600,21600" o:gfxdata="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V243vQAA&#10;ANo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w:txbxContent>
                        <w:p>
                          <w:pPr>
                            <w:rPr>
                              <w:rFonts w:hint="eastAsia"/>
                              <w:sz w:val="15"/>
                              <w:szCs w:val="15"/>
                            </w:rPr>
                          </w:pPr>
                          <w:r>
                            <w:rPr>
                              <w:rFonts w:hint="eastAsia"/>
                              <w:sz w:val="15"/>
                              <w:szCs w:val="15"/>
                            </w:rPr>
                            <w:t>层级权限</w:t>
                          </w:r>
                        </w:p>
                        <w:p>
                          <w:pPr>
                            <w:rPr>
                              <w:rFonts w:hint="eastAsia"/>
                              <w:sz w:val="15"/>
                              <w:szCs w:val="15"/>
                            </w:rPr>
                          </w:pPr>
                          <w:r>
                            <w:rPr>
                              <w:rFonts w:hint="eastAsia"/>
                              <w:sz w:val="15"/>
                              <w:szCs w:val="15"/>
                            </w:rPr>
                            <w:t>非人格化</w:t>
                          </w:r>
                        </w:p>
                        <w:p>
                          <w:pPr>
                            <w:rPr>
                              <w:rFonts w:hint="eastAsia"/>
                              <w:sz w:val="15"/>
                              <w:szCs w:val="15"/>
                            </w:rPr>
                          </w:pPr>
                          <w:r>
                            <w:rPr>
                              <w:rFonts w:hint="eastAsia"/>
                              <w:sz w:val="15"/>
                              <w:szCs w:val="15"/>
                            </w:rPr>
                            <w:t>专业分工</w:t>
                          </w:r>
                        </w:p>
                        <w:p>
                          <w:pPr>
                            <w:rPr>
                              <w:rFonts w:hint="eastAsia"/>
                              <w:sz w:val="15"/>
                              <w:szCs w:val="15"/>
                            </w:rPr>
                          </w:pPr>
                          <w:r>
                            <w:rPr>
                              <w:rFonts w:hint="eastAsia"/>
                              <w:sz w:val="15"/>
                              <w:szCs w:val="15"/>
                            </w:rPr>
                            <w:t>单通道信息途径</w:t>
                          </w:r>
                        </w:p>
                      </w:txbxContent>
                    </v:textbox>
                  </v:rect>
                  <v:rect id="Rectangle 156" o:spid="_x0000_s1026" o:spt="1" style="position:absolute;left:533;top:1872;height:468;width:900;" filled="f" stroked="f" coordsize="21600,21600" o:gfxdata="UEsDBAoAAAAAAIdO4kAAAAAAAAAAAAAAAAAEAAAAZHJzL1BLAwQUAAAACACHTuJA3E+K1b0AAADa&#10;AAAADwAAAGRycy9kb3ducmV2LnhtbEWPQWvCQBSE74X+h+UVvJRmo0g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cT4rV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sz w:val="15"/>
                              <w:szCs w:val="15"/>
                            </w:rPr>
                          </w:pPr>
                          <w:r>
                            <w:rPr>
                              <w:rFonts w:hint="eastAsia"/>
                              <w:sz w:val="15"/>
                              <w:szCs w:val="15"/>
                            </w:rPr>
                            <w:t>科层制</w:t>
                          </w:r>
                        </w:p>
                      </w:txbxContent>
                    </v:textbox>
                  </v:rect>
                  <v:rect id="Rectangle 157" o:spid="_x0000_s1026" o:spt="1" style="position:absolute;left:4223;top:3684;height:780;width:720;" filled="f" stroked="f" coordsize="21600,21600" o:gfxdata="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Ay9O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条件需求</w:t>
                          </w:r>
                        </w:p>
                      </w:txbxContent>
                    </v:textbox>
                  </v:rect>
                  <v:rect id="Rectangle 158" o:spid="_x0000_s1026" o:spt="1" style="position:absolute;left:3413;top:2340;height:1404;width:1980;" fillcolor="#FFFFFF" filled="t" stroked="t" coordsize="21600,21600" o:gfxdata="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IM2vvQAA&#10;ANoAAAAPAAAAAAAAAAEAIAAAACIAAABkcnMvZG93bnJldi54bWxQSwECFAAUAAAACACHTuJAMy8F&#10;njsAAAA5AAAAEAAAAAAAAAABACAAAAAMAQAAZHJzL3NoYXBleG1sLnhtbFBLBQYAAAAABgAGAFsB&#10;AAC2AwAAAAA=&#10;">
                    <v:fill on="t" focussize="0,0"/>
                    <v:stroke color="#000000" joinstyle="miter" dashstyle="dash"/>
                    <v:imagedata o:title=""/>
                    <o:lock v:ext="edit" aspectratio="f"/>
                    <v:textbox>
                      <w:txbxContent>
                        <w:p>
                          <w:pPr>
                            <w:rPr>
                              <w:rFonts w:hint="eastAsia"/>
                              <w:sz w:val="15"/>
                              <w:szCs w:val="15"/>
                            </w:rPr>
                          </w:pPr>
                          <w:r>
                            <w:rPr>
                              <w:rFonts w:hint="eastAsia"/>
                              <w:sz w:val="15"/>
                              <w:szCs w:val="15"/>
                            </w:rPr>
                            <w:t>多主体参与</w:t>
                          </w:r>
                        </w:p>
                        <w:p>
                          <w:pPr>
                            <w:rPr>
                              <w:rFonts w:hint="eastAsia"/>
                              <w:sz w:val="15"/>
                              <w:szCs w:val="15"/>
                            </w:rPr>
                          </w:pPr>
                          <w:r>
                            <w:rPr>
                              <w:rFonts w:hint="eastAsia"/>
                              <w:sz w:val="15"/>
                              <w:szCs w:val="15"/>
                            </w:rPr>
                            <w:t>以人为本</w:t>
                          </w:r>
                        </w:p>
                        <w:p>
                          <w:pPr>
                            <w:rPr>
                              <w:rFonts w:hint="eastAsia"/>
                              <w:sz w:val="15"/>
                              <w:szCs w:val="15"/>
                            </w:rPr>
                          </w:pPr>
                          <w:r>
                            <w:rPr>
                              <w:rFonts w:hint="eastAsia"/>
                              <w:sz w:val="15"/>
                              <w:szCs w:val="15"/>
                            </w:rPr>
                            <w:t>任务导向机构重组</w:t>
                          </w:r>
                        </w:p>
                        <w:p>
                          <w:pPr>
                            <w:rPr>
                              <w:rFonts w:hint="eastAsia"/>
                              <w:sz w:val="15"/>
                              <w:szCs w:val="15"/>
                            </w:rPr>
                          </w:pPr>
                          <w:r>
                            <w:rPr>
                              <w:rFonts w:hint="eastAsia"/>
                              <w:sz w:val="15"/>
                              <w:szCs w:val="15"/>
                            </w:rPr>
                            <w:t>信息共享</w:t>
                          </w:r>
                        </w:p>
                      </w:txbxContent>
                    </v:textbox>
                  </v:rect>
                  <v:rect id="Rectangle 159" o:spid="_x0000_s1026" o:spt="1" style="position:absolute;left:2235;top:2631;height:423;width:833;" filled="f" stroked="f" coordsize="21600,21600" o:gfxdata="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nRSivQAA&#10;ANo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相悖</w:t>
                          </w:r>
                        </w:p>
                      </w:txbxContent>
                    </v:textbox>
                  </v:rect>
                  <v:roundrect id="AutoShape 160" o:spid="_x0000_s1026" o:spt="2" style="position:absolute;left:3521;top:4368;height:468;width:3492;" fillcolor="#FFFFFF" filled="t" stroked="t" coordsize="21600,21600" arcsize="0.166666666666667" o:gfxdata="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hbCvW5AAAA2gAA&#10;AA8AAAAAAAAAAQAgAAAAIgAAAGRycy9kb3ducmV2LnhtbFBLAQIUABQAAAAIAIdO4kAzLwWeOwAA&#10;ADkAAAAQAAAAAAAAAAEAIAAAAAgBAABkcnMvc2hhcGV4bWwueG1sUEsFBgAAAAAGAAYAWwEAALID&#10;AAAAAA==&#10;">
                    <v:fill on="t" focussize="0,0"/>
                    <v:stroke color="#000000" joinstyle="round"/>
                    <v:imagedata o:title=""/>
                    <o:lock v:ext="edit" aspectratio="f"/>
                    <v:shadow on="t" color="#808080" offset="2pt,2pt" origin="0f,0f" matrix="65536f,0f,0f,65536f"/>
                    <v:textbox>
                      <w:txbxContent>
                        <w:p>
                          <w:pPr>
                            <w:jc w:val="center"/>
                            <w:rPr>
                              <w:rFonts w:hint="eastAsia" w:ascii="宋体" w:hAnsi="宋体" w:cs="宋体"/>
                              <w:sz w:val="15"/>
                              <w:szCs w:val="15"/>
                            </w:rPr>
                          </w:pPr>
                          <w:r>
                            <w:rPr>
                              <w:rFonts w:hint="eastAsia" w:ascii="宋体" w:hAnsi="宋体" w:cs="宋体"/>
                              <w:sz w:val="15"/>
                              <w:szCs w:val="15"/>
                            </w:rPr>
                            <w:t>流域极端洪灾应急管理目标——高效</w:t>
                          </w:r>
                        </w:p>
                        <w:p/>
                      </w:txbxContent>
                    </v:textbox>
                  </v:roundrect>
                  <v:shape id="AutoShape 161" o:spid="_x0000_s1026" o:spt="33" type="#_x0000_t33" style="position:absolute;left:1890;top:2971;flip:x;height:2531;width:702;rotation:5898240f;" filled="f" stroked="t" coordsize="21600,21600" o:gfxdata="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Sdr1rvQAA&#10;ANoAAAAPAAAAAAAAAAEAIAAAACIAAABkcnMvZG93bnJldi54bWxQSwECFAAUAAAACACHTuJAMy8F&#10;njsAAAA5AAAAEAAAAAAAAAABACAAAAAMAQAAZHJzL3NoYXBleG1sLnhtbFBLBQYAAAAABgAGAFsB&#10;AAC2AwAAAAA=&#10;">
                    <v:fill on="f" focussize="0,0"/>
                    <v:stroke color="#000000" joinstyle="miter" endarrow="block"/>
                    <v:imagedata o:title=""/>
                    <o:lock v:ext="edit" aspectratio="f"/>
                  </v:shape>
                  <v:rect id="Rectangle 162" o:spid="_x0000_s1026" o:spt="1" style="position:absolute;left:900;top:4212;height:468;width:1800;" filled="f" stroked="f" coordsize="21600,21600" o:gfxdata="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P6QQ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难以满足</w:t>
                          </w:r>
                        </w:p>
                      </w:txbxContent>
                    </v:textbox>
                  </v:rect>
                  <v:shape id="AutoShape 163" o:spid="_x0000_s1026" o:spt="69" type="#_x0000_t69" style="position:absolute;left:2063;top:2964;height:156;width:1260;" filled="f" stroked="t" coordsize="21600,21600" o:gfxdata="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BM6J+ugAAANsA&#10;AAAPAAAAAAAAAAEAIAAAACIAAABkcnMvZG93bnJldi54bWxQSwECFAAUAAAACACHTuJAMy8FnjsA&#10;AAA5AAAAEAAAAAAAAAABACAAAAAJAQAAZHJzL3NoYXBleG1sLnhtbFBLBQYAAAAABgAGAFsBAACz&#10;AwAAAAA=&#10;" adj="4319,5400">
                    <v:fill on="f" focussize="0,0"/>
                    <v:stroke color="#000000" joinstyle="miter" dashstyle="dash"/>
                    <v:imagedata o:title=""/>
                    <o:lock v:ext="edit" aspectratio="f"/>
                  </v:shape>
                  <v:line id="Line 164" o:spid="_x0000_s1026" o:spt="20" style="position:absolute;left:2517;top:2913;flip:x;height:282;width:278;" filled="f" stroked="t" coordsize="21600,21600" o:gfxdata="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rNVu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65" o:spid="_x0000_s1026" o:spt="20" style="position:absolute;left:2550;top:2923;height:270;width:268;" filled="f" stroked="t" coordsize="21600,21600" o:gfxdata="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fuTt+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roundrect id="AutoShape 166" o:spid="_x0000_s1026" o:spt="2" style="position:absolute;left:3773;top:1188;height:468;width:2340;" fillcolor="#FFFFFF" filled="t" stroked="t" coordsize="21600,21600" arcsize="0.166666666666667" o:gfxdata="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tqD7l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shadow on="t" color="#808080" offset="2pt,2pt" origin="0f,0f" matrix="65536f,0f,0f,65536f"/>
                    <v:textbox>
                      <w:txbxContent>
                        <w:p>
                          <w:pPr>
                            <w:jc w:val="center"/>
                            <w:rPr>
                              <w:sz w:val="15"/>
                              <w:szCs w:val="15"/>
                            </w:rPr>
                          </w:pPr>
                          <w:r>
                            <w:rPr>
                              <w:rFonts w:hint="eastAsia"/>
                              <w:sz w:val="15"/>
                              <w:szCs w:val="15"/>
                            </w:rPr>
                            <w:t>“科层-合作”制</w:t>
                          </w:r>
                        </w:p>
                      </w:txbxContent>
                    </v:textbox>
                  </v:roundrect>
                  <v:shape id="AutoShape 167" o:spid="_x0000_s1026" o:spt="70" type="#_x0000_t70" style="position:absolute;left:4794;top:1716;height:624;width:179;" filled="f" stroked="t" coordsize="21600,21600" o:gfxdata="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W9snu5AAAA2wAA&#10;AA8AAAAAAAAAAQAgAAAAIgAAAGRycy9kb3ducmV2LnhtbFBLAQIUABQAAAAIAIdO4kAzLwWeOwAA&#10;ADkAAAAQAAAAAAAAAAEAIAAAAAgBAABkcnMvc2hhcGV4bWwueG1sUEsFBgAAAAAGAAYAWwEAALID&#10;AAAAAA==&#10;" adj="5400,4319">
                    <v:fill on="f" focussize="0,0"/>
                    <v:stroke color="#000000" joinstyle="miter" dashstyle="dash"/>
                    <v:imagedata o:title=""/>
                    <o:lock v:ext="edit" aspectratio="f"/>
                    <v:textbox style="layout-flow:vertical-ideographic;"/>
                  </v:shape>
                  <v:rect id="Rectangle 168" o:spid="_x0000_s1026" o:spt="1" style="position:absolute;left:4793;top:1716;height:468;width:900;" filled="f" stroked="f" coordsize="21600,21600" o:gfxdata="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Camf+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jc w:val="center"/>
                            <w:rPr>
                              <w:rFonts w:hint="eastAsia"/>
                              <w:sz w:val="15"/>
                              <w:szCs w:val="15"/>
                            </w:rPr>
                          </w:pPr>
                          <w:r>
                            <w:rPr>
                              <w:rFonts w:hint="eastAsia"/>
                              <w:sz w:val="15"/>
                              <w:szCs w:val="15"/>
                            </w:rPr>
                            <w:t>相符</w:t>
                          </w:r>
                        </w:p>
                      </w:txbxContent>
                    </v:textbox>
                  </v:rect>
                  <v:shape id="AutoShape 169" o:spid="_x0000_s1026" o:spt="68" type="#_x0000_t68" style="position:absolute;left:4493;top:1716;height:624;width:180;" fillcolor="#FFFFFF" filled="t" stroked="t" coordsize="21600,21600" o:gfxdata="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nHUnBugAAANsA&#10;AAAPAAAAAAAAAAEAIAAAACIAAABkcnMvZG93bnJldi54bWxQSwECFAAUAAAACACHTuJAMy8FnjsA&#10;AAA5AAAAEAAAAAAAAAABACAAAAAJAQAAZHJzL3NoYXBleG1sLnhtbFBLBQYAAAAABgAGAFsBAACz&#10;AwAAAAA=&#10;" adj="5399,5400">
                    <v:fill on="t" focussize="0,0"/>
                    <v:stroke color="#000000" joinstyle="miter"/>
                    <v:imagedata o:title=""/>
                    <o:lock v:ext="edit" aspectratio="f"/>
                    <v:textbox style="layout-flow:vertical-ideographic;"/>
                  </v:shape>
                  <v:rect id="Rectangle 170" o:spid="_x0000_s1026" o:spt="1" style="position:absolute;left:3773;top:1716;height:468;width:900;" filled="f" stroked="f" coordsize="21600,21600" o:gfxdata="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Sag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弥补</w:t>
                          </w:r>
                        </w:p>
                      </w:txbxContent>
                    </v:textbox>
                  </v:rect>
                  <v:line id="Line 171" o:spid="_x0000_s1026" o:spt="20" style="position:absolute;left:5753;top:1716;height:2652;width:1;" filled="f" stroked="t" coordsize="21600,21600" o:gfxdata="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k1U2vQAA&#10;ANsAAAAPAAAAAAAAAAEAIAAAACIAAABkcnMvZG93bnJldi54bWxQSwECFAAUAAAACACHTuJAMy8F&#10;njsAAAA5AAAAEAAAAAAAAAABACAAAAAMAQAAZHJzL3NoYXBleG1sLnhtbFBLBQYAAAAABgAGAFsB&#10;AAC2AwAAAAA=&#10;">
                    <v:fill on="f" focussize="0,0"/>
                    <v:stroke color="#000000" joinstyle="round" endarrow="block"/>
                    <v:imagedata o:title=""/>
                    <o:lock v:ext="edit" aspectratio="f"/>
                  </v:line>
                  <v:rect id="Rectangle 172" o:spid="_x0000_s1026" o:spt="1" style="position:absolute;left:5573;top:2652;height:468;width:900;" filled="f" stroked="f" coordsize="21600,21600" o:gfxdata="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lNurb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jc w:val="center"/>
                            <w:rPr>
                              <w:rFonts w:hint="eastAsia"/>
                              <w:sz w:val="15"/>
                              <w:szCs w:val="15"/>
                            </w:rPr>
                          </w:pPr>
                          <w:r>
                            <w:rPr>
                              <w:rFonts w:hint="eastAsia"/>
                              <w:sz w:val="15"/>
                              <w:szCs w:val="15"/>
                            </w:rPr>
                            <w:t>满足</w:t>
                          </w:r>
                        </w:p>
                      </w:txbxContent>
                    </v:textbox>
                  </v:rect>
                  <v:rect id="Rectangle 173" o:spid="_x0000_s1026" o:spt="1" style="position:absolute;left:3548;top:579;height:468;width:1440;" filled="f" stroked="f" coordsize="21600,21600" o:gfxdata="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R/LNr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jc w:val="center"/>
                            <w:rPr>
                              <w:rFonts w:hint="eastAsia"/>
                              <w:sz w:val="15"/>
                              <w:szCs w:val="15"/>
                            </w:rPr>
                          </w:pPr>
                          <w:r>
                            <w:rPr>
                              <w:rFonts w:hint="eastAsia"/>
                              <w:sz w:val="15"/>
                              <w:szCs w:val="15"/>
                            </w:rPr>
                            <w:t>管理体制改进</w:t>
                          </w:r>
                        </w:p>
                      </w:txbxContent>
                    </v:textbox>
                  </v:rect>
                  <v:shape id="AutoShape 174" o:spid="_x0000_s1026" o:spt="100" style="position:absolute;left:1433;top:468;height:156;width:540;" fillcolor="#FFFFFF" filled="t" stroked="t" coordsize="21600,21600" o:gfxdata="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ev6cvQAA&#10;ANsAAAAPAAAAAAAAAAEAIAAAACIAAABkcnMvZG93bnJldi54bWxQSwECFAAUAAAACACHTuJAMy8F&#10;njsAAAA5AAAAEAAAAAAAAAABACAAAAAMAQAAZHJzL3NoYXBleG1sLnhtbFBLBQYAAAAABgAGAFsB&#10;AAC2Aw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shape id="AutoShape 175" o:spid="_x0000_s1026" o:spt="100" style="position:absolute;left:2381;top:2190;height:180;width:624;rotation:-5898240f;" fillcolor="#FFFFFF" filled="t" stroked="t" coordsize="21600,21600" o:gfxdata="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H8COu8AAAA&#10;2wAAAA8AAAAAAAAAAQAgAAAAIgAAAGRycy9kb3ducmV2LnhtbFBLAQIUABQAAAAIAIdO4kAzLwWe&#10;OwAAADkAAAAQAAAAAAAAAAEAIAAAAAsBAABkcnMvc2hhcGV4bWwueG1sUEsFBgAAAAAGAAYAWwEA&#10;ALUDAAAAAA==&#10;" path="m16200,0l16200,5400,3375,5400,3375,16200,16200,16200,16200,21600,21600,10800xem1350,5400l1350,16200,2700,16200,2700,5400xem0,5400l0,16200,675,16200,675,5400xe">
                    <v:path o:connectlocs="16200,0;0,10800;16200,21600;21600,10800" o:connectangles="0,0,0,0"/>
                    <v:fill on="t" focussize="0,0"/>
                    <v:stroke color="#000000" joinstyle="miter"/>
                    <v:imagedata o:title=""/>
                    <o:lock v:ext="edit" aspectratio="f"/>
                  </v:shape>
                  <v:line id="Line 176" o:spid="_x0000_s1026" o:spt="20" style="position:absolute;left:6473;top:238;flip:x;height:4130;width:4;" filled="f" stroked="t" coordsize="21600,21600" o:gfxdata="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IlFs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7" o:spid="_x0000_s1026" o:spt="20" style="position:absolute;left:3356;top:231;height:1;width:3117;"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78" o:spid="_x0000_s1026" o:spt="20" style="position:absolute;left:4313;top:3744;flip:y;height:624;width:1;" filled="f" stroked="t" coordsize="21600,21600" o:gfxdata="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27LSW/&#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179" o:spid="_x0000_s1026" o:spt="20" style="position:absolute;left:3581;top:553;height:851;width:13;" filled="f" stroked="t" coordsize="21600,21600" o:gfxdata="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uYJh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80" o:spid="_x0000_s1026" o:spt="20" style="position:absolute;left:3413;top:1404;height:0;width:180;" filled="f" stroked="t" coordsize="21600,21600" o:gfxdata="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XJhYT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181" o:spid="_x0000_s1026" o:spt="20" style="position:absolute;left:3593;top:936;height:1;width:1080;" filled="f" stroked="t" coordsize="21600,21600" o:gfxdata="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4arOI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182" o:spid="_x0000_s1026" o:spt="20" style="position:absolute;left:4673;top:936;height:312;width:1;" filled="f" stroked="t" coordsize="21600,21600" o:gfxdata="UEsDBAoAAAAAAIdO4kAAAAAAAAAAAAAAAAAEAAAAZHJzL1BLAwQUAAAACACHTuJAIhygy7sAAADb&#10;AAAADwAAAGRycy9kb3ducmV2LnhtbEVPy4rCMBTdC/MP4Q6407QK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hygy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rect id="Rectangle 183" o:spid="_x0000_s1026" o:spt="1" style="position:absolute;left:240;top:936;height:750;width:833;" filled="f" stroked="f" coordsize="21600,21600" o:gfxdata="UEsDBAoAAAAAAIdO4kAAAAAAAAAAAAAAAAAEAAAAZHJzL1BLAwQUAAAACACHTuJANMZd670AAADb&#10;AAAADwAAAGRycy9kb3ducmV2LnhtbEWPQYvCMBSE78L+h/AWvMiadgW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0xl3r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高效</w:t>
                          </w:r>
                        </w:p>
                        <w:p>
                          <w:pPr>
                            <w:jc w:val="center"/>
                            <w:rPr>
                              <w:rFonts w:hint="eastAsia"/>
                              <w:sz w:val="18"/>
                              <w:szCs w:val="18"/>
                            </w:rPr>
                          </w:pPr>
                          <w:r>
                            <w:rPr>
                              <w:rFonts w:hint="eastAsia"/>
                              <w:sz w:val="15"/>
                              <w:szCs w:val="15"/>
                            </w:rPr>
                            <w:t>适用</w:t>
                          </w:r>
                        </w:p>
                      </w:txbxContent>
                    </v:textbox>
                  </v:rect>
                  <v:rect id="Rectangle 184" o:spid="_x0000_s1026" o:spt="1" style="position:absolute;left:6353;top:1872;height:780;width:720;" filled="f" stroked="f" coordsize="21600,21600" o:gfxdata="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FMOc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8"/>
                              <w:szCs w:val="18"/>
                            </w:rPr>
                          </w:pPr>
                          <w:r>
                            <w:rPr>
                              <w:rFonts w:hint="eastAsia"/>
                              <w:sz w:val="15"/>
                              <w:szCs w:val="15"/>
                            </w:rPr>
                            <w:t>目标需求</w:t>
                          </w:r>
                        </w:p>
                      </w:txbxContent>
                    </v:textbox>
                  </v:rect>
                  <v:group id="Group 185" o:spid="_x0000_s1026" o:spt="203" style="position:absolute;left:173;top:312;height:468;width:1380;" coordsize="1380,468" o:gfxdata="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qcxu7b0AAADbAAAADwAAAAAAAAABACAAAAAiAAAAZHJzL2Rvd25yZXYueG1s&#10;UEsBAhQAFAAAAAgAh07iQDMvBZ47AAAAOQAAABUAAAAAAAAAAQAgAAAADAEAAGRycy9ncm91cHNo&#10;YXBleG1sLnhtbFBLBQYAAAAABgAGAGABAADJAwAAAAA=&#10;">
                    <o:lock v:ext="edit" aspectratio="f"/>
                    <v:shape id="Oval 186" o:spid="_x0000_s1026" o:spt="3" type="#_x0000_t3" style="position:absolute;left:0;top:0;height:468;width:1260;" fillcolor="#969696" filled="t" stroked="t" coordsize="21600,21600" o:gfxdata="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vHLJutwAAANsAAAAP&#10;AAAAAAAAAAEAIAAAACIAAABkcnMvZG93bnJldi54bWxQSwECFAAUAAAACACHTuJAMy8FnjsAAAA5&#10;AAAAEAAAAAAAAAABACAAAAAGAQAAZHJzL3NoYXBleG1sLnhtbFBLBQYAAAAABgAGAFsBAACwAwAA&#10;AAA=&#10;">
                      <v:fill on="t" focussize="0,0"/>
                      <v:stroke color="#000000" joinstyle="round"/>
                      <v:imagedata o:title=""/>
                      <o:lock v:ext="edit" aspectratio="f"/>
                    </v:shape>
                    <v:rect id="Rectangle 187" o:spid="_x0000_s1026" o:spt="1" style="position:absolute;left:120;top:0;height:468;width:1260;" filled="f" stroked="f" coordsize="21600,21600" o:gfxdata="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LH+c74A&#10;AADbAAAADwAAAAAAAAABACAAAAAiAAAAZHJzL2Rvd25yZXYueG1sUEsBAhQAFAAAAAgAh07iQDMv&#10;BZ47AAAAOQAAABAAAAAAAAAAAQAgAAAADQEAAGRycy9zaGFwZXhtbC54bWxQSwUGAAAAAAYABgBb&#10;AQAAtwM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常态环境</w:t>
                            </w:r>
                          </w:p>
                        </w:txbxContent>
                      </v:textbox>
                    </v:rect>
                  </v:group>
                  <v:group id="Group 188" o:spid="_x0000_s1026" o:spt="203" style="position:absolute;left:1973;top:0;height:936;width:1620;" coordsize="1620,780" o:gfxdata="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KIFk6L0AAADbAAAADwAAAAAAAAABACAAAAAiAAAAZHJzL2Rvd25yZXYueG1s&#10;UEsBAhQAFAAAAAgAh07iQDMvBZ47AAAAOQAAABUAAAAAAAAAAQAgAAAADAEAAGRycy9ncm91cHNo&#10;YXBleG1sLnhtbFBLBQYAAAAABgAGAGABAADJAwAAAAA=&#10;">
                    <o:lock v:ext="edit" aspectratio="f"/>
                    <v:shape id="AutoShape 189" o:spid="_x0000_s1026" o:spt="71" type="#_x0000_t71" style="position:absolute;left:0;top:0;height:780;width:1440;" fillcolor="#969696" filled="t" stroked="t" coordsize="21600,21600" o:gfxdata="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c4Ir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line id="Line 190" o:spid="_x0000_s1026" o:spt="20" style="position:absolute;left:1440;top:468;height:0;width:180;" filled="f" stroked="t" coordsize="21600,21600" o:gfxdata="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2AUvL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191" o:spid="_x0000_s1026" o:spt="1" style="position:absolute;left:180;top:156;height:468;width:1080;" filled="f" stroked="f" coordsize="21600,21600" o:gfxdata="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fz0drsAAADb&#10;AAAADwAAAAAAAAABACAAAAAiAAAAZHJzL2Rvd25yZXYueG1sUEsBAhQAFAAAAAgAh07iQDMvBZ47&#10;AAAAOQAAABAAAAAAAAAAAQAgAAAACgEAAGRycy9zaGFwZXhtbC54bWxQSwUGAAAAAAYABgBbAQAA&#10;tAM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应急环境</w:t>
                            </w:r>
                          </w:p>
                        </w:txbxContent>
                      </v:textbox>
                    </v:rect>
                  </v:group>
                  <v:group id="Group 192" o:spid="_x0000_s1026" o:spt="203" style="position:absolute;left:1973;top:1092;height:780;width:1440;" coordsize="1440,780" o:gfxdata="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I4XkvwAAANsAAAAPAAAAAAAAAAEAIAAAACIAAABkcnMvZG93bnJldi54&#10;bWxQSwECFAAUAAAACACHTuJAMy8FnjsAAAA5AAAAFQAAAAAAAAABACAAAAAOAQAAZHJzL2dyb3Vw&#10;c2hhcGV4bWwueG1sUEsFBgAAAAAGAAYAYAEAAMsDAAAAAA==&#10;">
                    <o:lock v:ext="edit" aspectratio="f"/>
                    <v:shape id="AutoShape 193" o:spid="_x0000_s1026" o:spt="71" type="#_x0000_t71" style="position:absolute;left:0;top:0;height:780;width:1440;" fillcolor="#969696" filled="t" stroked="t" coordsize="21600,21600" o:gfxdata="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fm2wk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rect id="Rectangle 194" o:spid="_x0000_s1026" o:spt="1" style="position:absolute;left:180;top:156;height:468;width:1080;" filled="f" stroked="f" coordsize="21600,21600" o:gfxdata="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wC6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rFonts w:hint="eastAsia" w:ascii="宋体" w:hAnsi="宋体" w:cs="宋体"/>
                                <w:sz w:val="15"/>
                                <w:szCs w:val="15"/>
                              </w:rPr>
                            </w:pPr>
                            <w:r>
                              <w:rPr>
                                <w:rFonts w:hint="eastAsia" w:ascii="宋体" w:hAnsi="宋体" w:cs="宋体"/>
                                <w:sz w:val="15"/>
                                <w:szCs w:val="15"/>
                              </w:rPr>
                              <w:t>管理混沌</w:t>
                            </w:r>
                          </w:p>
                        </w:txbxContent>
                      </v:textbox>
                    </v:rect>
                  </v:group>
                  <v:line id="Line 195" o:spid="_x0000_s1026" o:spt="20" style="position:absolute;left:893;top:780;flip:y;height:1092;width:0;" filled="f" stroked="t" coordsize="21600,21600" o:gfxdata="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JXRAugAAANsA&#10;AAAPAAAAAAAAAAEAIAAAACIAAABkcnMvZG93bnJldi54bWxQSwECFAAUAAAACACHTuJAMy8FnjsA&#10;AAA5AAAAEAAAAAAAAAABACAAAAAJAQAAZHJzL3NoYXBleG1sLnhtbFBLBQYAAAAABgAGAFsBAACz&#10;AwAAAAA=&#10;">
                    <v:fill on="f" focussize="0,0"/>
                    <v:stroke color="#000000" joinstyle="round" dashstyle="dash" endarrow="block"/>
                    <v:imagedata o:title=""/>
                    <o:lock v:ext="edit" aspectratio="f"/>
                  </v:line>
                  <v:line id="Line 196" o:spid="_x0000_s1026" o:spt="20" style="position:absolute;left:3353;top:397;flip:x;height:6;width:1773;" filled="f" stroked="t" coordsize="21600,21600" o:gfxdata="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bM7DS2AAAA2wAAAA8A&#10;AAAAAAAAAQAgAAAAIgAAAGRycy9kb3ducmV2LnhtbFBLAQIUABQAAAAIAIdO4kAzLwWeOwAAADkA&#10;AAAQAAAAAAAAAAEAIAAAAAUBAABkcnMvc2hhcGV4bWwueG1sUEsFBgAAAAAGAAYAWwEAAK8DAAAA&#10;AA==&#10;">
                    <v:fill on="f" focussize="0,0"/>
                    <v:stroke color="#000000" joinstyle="round" dashstyle="dash" endarrow="block"/>
                    <v:imagedata o:title=""/>
                    <o:lock v:ext="edit" aspectratio="f"/>
                  </v:line>
                  <v:line id="Line 197" o:spid="_x0000_s1026" o:spt="20" style="position:absolute;left:5138;top:402;height:780;width:1;" filled="f" stroked="t" coordsize="21600,21600" o:gfxdata="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0m3Eb4A&#10;AADbAAAADwAAAAAAAAABACAAAAAiAAAAZHJzL2Rvd25yZXYueG1sUEsBAhQAFAAAAAgAh07iQDMv&#10;BZ47AAAAOQAAABAAAAAAAAAAAQAgAAAADQEAAGRycy9zaGFwZXhtbC54bWxQSwUGAAAAAAYABgBb&#10;AQAAtwMAAAAA&#10;">
                    <v:fill on="f" focussize="0,0"/>
                    <v:stroke color="#000000" joinstyle="round" dashstyle="dash"/>
                    <v:imagedata o:title=""/>
                    <o:lock v:ext="edit" aspectratio="f"/>
                  </v:line>
                  <v:rect id="Rectangle 198" o:spid="_x0000_s1026" o:spt="1" style="position:absolute;left:4943;top:534;height:423;width:833;" filled="f" stroked="f" coordsize="21600,21600" o:gfxdata="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jKbbi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center"/>
                            <w:rPr>
                              <w:rFonts w:hint="eastAsia"/>
                              <w:sz w:val="15"/>
                              <w:szCs w:val="15"/>
                            </w:rPr>
                          </w:pPr>
                          <w:r>
                            <w:rPr>
                              <w:rFonts w:hint="eastAsia"/>
                              <w:sz w:val="15"/>
                              <w:szCs w:val="15"/>
                            </w:rPr>
                            <w:t>适用</w:t>
                          </w:r>
                        </w:p>
                      </w:txbxContent>
                    </v:textbox>
                  </v:rect>
                </v:group>
                <w10:wrap type="none"/>
                <w10:anchorlock/>
              </v:group>
            </w:pict>
          </mc:Fallback>
        </mc:AlternateContent>
      </w:r>
    </w:p>
    <w:p>
      <w:pPr>
        <w:autoSpaceDE w:val="0"/>
        <w:autoSpaceDN w:val="0"/>
        <w:adjustRightInd w:val="0"/>
        <w:spacing w:line="420" w:lineRule="exact"/>
        <w:ind w:firstLine="361" w:firstLineChars="200"/>
        <w:jc w:val="center"/>
        <w:outlineLvl w:val="0"/>
        <w:rPr>
          <w:rFonts w:hint="eastAsia" w:ascii="黑体" w:hAnsi="黑体" w:eastAsia="黑体" w:cs="黑体"/>
          <w:b/>
          <w:bCs/>
          <w:sz w:val="18"/>
          <w:szCs w:val="18"/>
        </w:rPr>
      </w:pPr>
      <w:bookmarkStart w:id="16" w:name="OLE_LINK31"/>
      <w:r>
        <w:rPr>
          <w:rFonts w:hint="eastAsia" w:ascii="黑体" w:hAnsi="黑体" w:eastAsia="黑体" w:cs="黑体"/>
          <w:b/>
          <w:bCs/>
          <w:sz w:val="18"/>
          <w:szCs w:val="18"/>
        </w:rPr>
        <w:t>图2  “科层</w:t>
      </w:r>
      <w:r>
        <w:rPr>
          <w:rFonts w:hint="eastAsia" w:ascii="黑体" w:hAnsi="黑体" w:eastAsia="黑体" w:cs="黑体"/>
          <w:b/>
          <w:sz w:val="18"/>
          <w:szCs w:val="18"/>
        </w:rPr>
        <w:t>-</w:t>
      </w:r>
      <w:r>
        <w:rPr>
          <w:rFonts w:hint="eastAsia" w:ascii="黑体" w:hAnsi="黑体" w:eastAsia="黑体" w:cs="黑体"/>
          <w:b/>
          <w:bCs/>
          <w:sz w:val="18"/>
          <w:szCs w:val="18"/>
        </w:rPr>
        <w:t>合作”的形成机</w:t>
      </w:r>
      <w:bookmarkEnd w:id="16"/>
      <w:r>
        <w:rPr>
          <w:rFonts w:hint="eastAsia" w:ascii="黑体" w:hAnsi="黑体" w:eastAsia="黑体" w:cs="黑体"/>
          <w:b/>
          <w:bCs/>
          <w:sz w:val="18"/>
          <w:szCs w:val="18"/>
        </w:rPr>
        <w:t>制</w:t>
      </w:r>
    </w:p>
    <w:p>
      <w:pPr>
        <w:spacing w:line="400" w:lineRule="exact"/>
        <w:jc w:val="center"/>
        <w:rPr>
          <w:rFonts w:hint="eastAsia" w:ascii="楷体_GB2312" w:eastAsia="楷体_GB2312"/>
          <w:color w:val="FF0000"/>
          <w:szCs w:val="24"/>
        </w:rPr>
      </w:pPr>
      <w:r>
        <w:rPr>
          <w:rFonts w:hint="eastAsia" w:ascii="楷体_GB2312" w:eastAsia="楷体_GB2312"/>
          <w:color w:val="FF0000"/>
          <w:szCs w:val="24"/>
        </w:rPr>
        <w:t>（图中文字为宋体6号；标题字体为 黑体小5号，加粗居中）</w:t>
      </w:r>
    </w:p>
    <w:p>
      <w:pPr>
        <w:spacing w:line="360" w:lineRule="auto"/>
        <w:jc w:val="center"/>
        <w:rPr>
          <w:rFonts w:hint="eastAsia"/>
          <w:b/>
          <w:bCs/>
          <w:sz w:val="24"/>
          <w:szCs w:val="24"/>
        </w:rPr>
      </w:pPr>
    </w:p>
    <w:p>
      <w:pPr>
        <w:spacing w:line="460" w:lineRule="exact"/>
        <w:jc w:val="left"/>
        <w:rPr>
          <w:rFonts w:hint="eastAsia" w:ascii="黑体" w:eastAsia="黑体"/>
          <w:sz w:val="30"/>
          <w:szCs w:val="30"/>
        </w:rPr>
      </w:pPr>
      <w:bookmarkStart w:id="17" w:name="_Toc327385014"/>
    </w:p>
    <w:p>
      <w:pPr>
        <w:spacing w:line="460" w:lineRule="exact"/>
        <w:rPr>
          <w:rFonts w:hint="eastAsia" w:ascii="宋体" w:hAnsi="宋体"/>
          <w:sz w:val="18"/>
          <w:szCs w:val="18"/>
        </w:rPr>
      </w:pPr>
      <w:r>
        <w:rPr>
          <w:rFonts w:hint="eastAsia" w:ascii="黑体" w:eastAsia="黑体"/>
          <w:szCs w:val="21"/>
        </w:rPr>
        <w:t>参考文献</w:t>
      </w:r>
      <w:bookmarkEnd w:id="17"/>
      <w:r>
        <w:rPr>
          <w:rFonts w:hint="eastAsia" w:ascii="黑体" w:eastAsia="黑体"/>
          <w:szCs w:val="21"/>
        </w:rPr>
        <w:t>：</w:t>
      </w:r>
      <w:r>
        <w:rPr>
          <w:rFonts w:hint="eastAsia" w:ascii="楷体_GB2312" w:eastAsia="楷体_GB2312"/>
          <w:color w:val="0000FF"/>
          <w:szCs w:val="24"/>
        </w:rPr>
        <w:t>(黑体5号)</w:t>
      </w:r>
      <w:r>
        <w:rPr>
          <w:rFonts w:hint="eastAsia" w:ascii="宋体" w:hAnsi="宋体"/>
          <w:color w:val="FF00FF"/>
          <w:szCs w:val="21"/>
        </w:rPr>
        <w:t>（下列文献与范例文章无关）</w:t>
      </w:r>
    </w:p>
    <w:p>
      <w:pPr>
        <w:rPr>
          <w:rFonts w:hint="eastAsia" w:ascii="宋体" w:hAnsi="宋体"/>
          <w:sz w:val="18"/>
          <w:szCs w:val="18"/>
        </w:rPr>
      </w:pPr>
      <w:r>
        <w:rPr>
          <w:rFonts w:hint="eastAsia" w:ascii="宋体" w:hAnsi="宋体"/>
          <w:sz w:val="18"/>
          <w:szCs w:val="18"/>
        </w:rPr>
        <w:t xml:space="preserve">[1] 马克思,恩格斯．马克思恩格斯文集：第2卷[M]．中共中央马克思恩格斯列宁斯大林著作编译局,译．北        </w:t>
      </w:r>
    </w:p>
    <w:p>
      <w:pPr>
        <w:rPr>
          <w:rFonts w:hint="eastAsia" w:ascii="宋体" w:hAnsi="宋体"/>
          <w:sz w:val="18"/>
          <w:szCs w:val="18"/>
        </w:rPr>
      </w:pPr>
      <w:r>
        <w:rPr>
          <w:rFonts w:hint="eastAsia" w:ascii="宋体" w:hAnsi="宋体"/>
          <w:sz w:val="18"/>
          <w:szCs w:val="18"/>
        </w:rPr>
        <w:t xml:space="preserve">    京：人民出版社,2009．</w:t>
      </w:r>
    </w:p>
    <w:p>
      <w:pPr>
        <w:rPr>
          <w:rFonts w:hint="eastAsia" w:ascii="宋体" w:hAnsi="宋体"/>
          <w:sz w:val="18"/>
          <w:szCs w:val="18"/>
        </w:rPr>
      </w:pPr>
      <w:r>
        <w:rPr>
          <w:rFonts w:hint="eastAsia" w:ascii="宋体" w:hAnsi="宋体"/>
          <w:sz w:val="18"/>
          <w:szCs w:val="18"/>
        </w:rPr>
        <w:t>[2] 马克斯·韦伯．经济与社会[M]．阎克文,译．上海:上海人民出版社,2010:47．</w:t>
      </w:r>
    </w:p>
    <w:p>
      <w:pPr>
        <w:rPr>
          <w:rFonts w:hint="eastAsia" w:ascii="宋体" w:hAnsi="宋体"/>
          <w:sz w:val="18"/>
          <w:szCs w:val="18"/>
        </w:rPr>
      </w:pPr>
      <w:r>
        <w:rPr>
          <w:rFonts w:hint="eastAsia" w:ascii="宋体" w:hAnsi="宋体"/>
          <w:sz w:val="18"/>
          <w:szCs w:val="18"/>
        </w:rPr>
        <w:t xml:space="preserve">[3] 托马斯·内格尔．多元主义与一致性[M]// 马克·里拉,罗纳德·德沃金,罗伯特·西尔维斯．以赛亚·  </w:t>
      </w:r>
    </w:p>
    <w:p>
      <w:pPr>
        <w:rPr>
          <w:rFonts w:hint="eastAsia" w:ascii="宋体" w:hAnsi="宋体"/>
          <w:sz w:val="18"/>
          <w:szCs w:val="18"/>
        </w:rPr>
      </w:pPr>
      <w:r>
        <w:rPr>
          <w:rFonts w:hint="eastAsia" w:ascii="宋体" w:hAnsi="宋体"/>
          <w:sz w:val="18"/>
          <w:szCs w:val="18"/>
        </w:rPr>
        <w:t xml:space="preserve">    伯林的遗产．刘擎,殷莹.译．北京:新星出版社,2006:195．</w:t>
      </w:r>
    </w:p>
    <w:p>
      <w:pPr>
        <w:rPr>
          <w:rFonts w:hint="eastAsia" w:ascii="宋体" w:hAnsi="宋体"/>
          <w:sz w:val="18"/>
          <w:szCs w:val="18"/>
        </w:rPr>
      </w:pPr>
      <w:r>
        <w:rPr>
          <w:rFonts w:hint="eastAsia" w:ascii="宋体" w:hAnsi="宋体"/>
          <w:sz w:val="18"/>
          <w:szCs w:val="18"/>
        </w:rPr>
        <w:t>[5] RICHARD T．Essays on the Welfare State[M]．New Haven: Yale University Press,1959．</w:t>
      </w:r>
    </w:p>
    <w:p>
      <w:pPr>
        <w:rPr>
          <w:rFonts w:hint="eastAsia" w:ascii="宋体" w:hAnsi="宋体"/>
          <w:sz w:val="18"/>
          <w:szCs w:val="18"/>
        </w:rPr>
      </w:pPr>
      <w:r>
        <w:rPr>
          <w:rFonts w:hint="eastAsia" w:ascii="宋体" w:hAnsi="宋体"/>
          <w:sz w:val="18"/>
          <w:szCs w:val="18"/>
        </w:rPr>
        <w:t xml:space="preserve">[6] 郭剑平．从汶川地震看我国自然灾害救助体系的健全[J]．河海大学学报:哲学社会科学版,2009,11(1):        </w:t>
      </w:r>
    </w:p>
    <w:p>
      <w:pPr>
        <w:rPr>
          <w:rFonts w:hint="eastAsia" w:ascii="宋体" w:hAnsi="宋体"/>
          <w:szCs w:val="21"/>
        </w:rPr>
      </w:pPr>
      <w:r>
        <w:rPr>
          <w:rFonts w:hint="eastAsia" w:ascii="宋体" w:hAnsi="宋体"/>
          <w:sz w:val="18"/>
          <w:szCs w:val="18"/>
        </w:rPr>
        <w:t xml:space="preserve">    29-31．</w:t>
      </w:r>
    </w:p>
    <w:p>
      <w:pPr>
        <w:rPr>
          <w:rFonts w:hint="eastAsia" w:ascii="宋体" w:hAnsi="宋体"/>
          <w:sz w:val="18"/>
          <w:szCs w:val="18"/>
        </w:rPr>
      </w:pPr>
      <w:r>
        <w:rPr>
          <w:rFonts w:hint="eastAsia" w:ascii="宋体" w:hAnsi="宋体"/>
          <w:sz w:val="18"/>
          <w:szCs w:val="18"/>
        </w:rPr>
        <w:t xml:space="preserve">[7] JARGER M M．United But Divided: Welfare Regimes and the Level and Variance in Public Support      </w:t>
      </w:r>
    </w:p>
    <w:p>
      <w:pPr>
        <w:rPr>
          <w:rFonts w:hint="eastAsia" w:ascii="宋体" w:hAnsi="宋体"/>
          <w:sz w:val="18"/>
          <w:szCs w:val="18"/>
        </w:rPr>
      </w:pPr>
      <w:r>
        <w:rPr>
          <w:rFonts w:hint="eastAsia" w:ascii="宋体" w:hAnsi="宋体"/>
          <w:sz w:val="18"/>
          <w:szCs w:val="18"/>
        </w:rPr>
        <w:t xml:space="preserve">    for Redistribution[J]．European sociological review,2009,(6):723-737．</w:t>
      </w:r>
    </w:p>
    <w:p>
      <w:pPr>
        <w:rPr>
          <w:rFonts w:hint="eastAsia" w:ascii="宋体" w:hAnsi="宋体"/>
          <w:sz w:val="18"/>
          <w:szCs w:val="18"/>
        </w:rPr>
      </w:pPr>
      <w:r>
        <w:rPr>
          <w:rFonts w:hint="eastAsia" w:ascii="宋体" w:hAnsi="宋体"/>
          <w:sz w:val="18"/>
          <w:szCs w:val="18"/>
        </w:rPr>
        <w:t xml:space="preserve">[8] SAUNDERS F A．Electrotactile Sensory Aids for the Handicapped[R]．Presented at the 4th Annu．  </w:t>
      </w:r>
    </w:p>
    <w:p>
      <w:pPr>
        <w:rPr>
          <w:rFonts w:hint="eastAsia" w:ascii="宋体" w:hAnsi="宋体"/>
          <w:sz w:val="18"/>
          <w:szCs w:val="18"/>
        </w:rPr>
      </w:pPr>
      <w:r>
        <w:rPr>
          <w:rFonts w:hint="eastAsia" w:ascii="宋体" w:hAnsi="宋体"/>
          <w:sz w:val="18"/>
          <w:szCs w:val="18"/>
        </w:rPr>
        <w:t xml:space="preserve">    Meeting Biomedical Engineering Society, Los Angeles, CA, 1973．</w:t>
      </w:r>
    </w:p>
    <w:p>
      <w:pPr>
        <w:rPr>
          <w:rFonts w:hint="eastAsia" w:ascii="宋体" w:hAnsi="宋体"/>
          <w:sz w:val="18"/>
          <w:szCs w:val="18"/>
        </w:rPr>
      </w:pPr>
      <w:r>
        <w:rPr>
          <w:rFonts w:hint="eastAsia" w:ascii="宋体" w:hAnsi="宋体"/>
          <w:sz w:val="18"/>
          <w:szCs w:val="18"/>
        </w:rPr>
        <w:t xml:space="preserve">[9] BOHEKI J R．Adaptive AR Model Spectral Parameters for Monitoring Neonatal EEG [D]．Biomed．    </w:t>
      </w:r>
    </w:p>
    <w:p>
      <w:pPr>
        <w:rPr>
          <w:rFonts w:hint="eastAsia" w:ascii="宋体" w:hAnsi="宋体"/>
          <w:sz w:val="18"/>
          <w:szCs w:val="18"/>
        </w:rPr>
      </w:pPr>
      <w:r>
        <w:rPr>
          <w:rFonts w:hint="eastAsia" w:ascii="宋体" w:hAnsi="宋体"/>
          <w:sz w:val="18"/>
          <w:szCs w:val="18"/>
        </w:rPr>
        <w:t xml:space="preserve">    Eng．program, Univ．Fed．Rio de Janeiro, Rio de Janeiro, Brazil, 2000．</w:t>
      </w:r>
    </w:p>
    <w:p>
      <w:pPr>
        <w:rPr>
          <w:rFonts w:hint="eastAsia" w:ascii="宋体" w:hAnsi="宋体"/>
          <w:sz w:val="18"/>
          <w:szCs w:val="18"/>
        </w:rPr>
      </w:pPr>
      <w:r>
        <w:rPr>
          <w:rFonts w:hint="eastAsia" w:ascii="宋体" w:hAnsi="宋体"/>
          <w:sz w:val="18"/>
          <w:szCs w:val="18"/>
        </w:rPr>
        <w:t>[10] 张云．我国多层次证券市场下的投资者保护研究[D]．福州:福建师范大学,2011:1-62．</w:t>
      </w:r>
    </w:p>
    <w:p>
      <w:pPr>
        <w:rPr>
          <w:rFonts w:hint="eastAsia" w:ascii="宋体" w:hAnsi="宋体"/>
          <w:sz w:val="18"/>
          <w:szCs w:val="18"/>
        </w:rPr>
      </w:pPr>
      <w:r>
        <w:rPr>
          <w:rFonts w:hint="eastAsia" w:ascii="宋体" w:hAnsi="宋体"/>
          <w:sz w:val="18"/>
          <w:szCs w:val="18"/>
        </w:rPr>
        <w:t>[11] 习近平．在第十二届全国人民代表大会第一次会议上的讲话[N]．人民日报,2103-03-18（1）．</w:t>
      </w:r>
    </w:p>
    <w:p>
      <w:pPr>
        <w:rPr>
          <w:rFonts w:hint="eastAsia" w:ascii="宋体" w:hAnsi="宋体"/>
          <w:sz w:val="18"/>
          <w:szCs w:val="18"/>
        </w:rPr>
      </w:pPr>
      <w:r>
        <w:rPr>
          <w:rFonts w:hint="eastAsia" w:ascii="宋体" w:hAnsi="宋体"/>
          <w:sz w:val="18"/>
          <w:szCs w:val="18"/>
        </w:rPr>
        <w:t xml:space="preserve">[12] 王景新．“新三农”问题值得关注:对无地、失地、外出打工农民现状的剖析[OL]．               </w:t>
      </w:r>
    </w:p>
    <w:p>
      <w:pPr>
        <w:rPr>
          <w:rFonts w:hint="eastAsia" w:ascii="宋体" w:hAnsi="宋体"/>
          <w:sz w:val="18"/>
          <w:szCs w:val="18"/>
        </w:rPr>
      </w:pPr>
      <w:r>
        <w:rPr>
          <w:rFonts w:hint="eastAsia" w:ascii="宋体" w:hAnsi="宋体"/>
          <w:sz w:val="18"/>
          <w:szCs w:val="18"/>
        </w:rPr>
        <w:t xml:space="preserve">     [2014-02-10].http://www.people.com.cn/GB/guandian/1035/2372748.html．</w:t>
      </w:r>
    </w:p>
    <w:p>
      <w:pPr>
        <w:rPr>
          <w:rFonts w:hint="eastAsia" w:ascii="宋体" w:hAnsi="宋体"/>
          <w:sz w:val="18"/>
          <w:szCs w:val="18"/>
        </w:rPr>
      </w:pPr>
      <w:r>
        <w:rPr>
          <w:rFonts w:hint="eastAsia" w:ascii="宋体" w:hAnsi="宋体"/>
          <w:sz w:val="18"/>
          <w:szCs w:val="18"/>
        </w:rPr>
        <w:t xml:space="preserve">[13] 中华人民共和国审计署．全国政府性债务审计结果（2013年第32号公告）[EB/OL]．[2014-02-16]． </w:t>
      </w:r>
    </w:p>
    <w:p>
      <w:pPr>
        <w:rPr>
          <w:rFonts w:hint="eastAsia"/>
          <w:szCs w:val="21"/>
        </w:rPr>
      </w:pPr>
      <w:r>
        <w:rPr>
          <w:rFonts w:hint="eastAsia" w:ascii="宋体" w:hAnsi="宋体"/>
          <w:sz w:val="18"/>
          <w:szCs w:val="18"/>
        </w:rPr>
        <w:t xml:space="preserve">     http://www.audit.gov.cn/n1992130/n1992150/n1992500/3432077.html．</w:t>
      </w:r>
    </w:p>
    <w:p>
      <w:pPr>
        <w:spacing w:after="156" w:afterLines="50"/>
        <w:jc w:val="left"/>
      </w:pPr>
      <w:r>
        <w:rPr>
          <w:rFonts w:hint="eastAsia" w:ascii="楷体_GB2312" w:eastAsia="楷体_GB2312"/>
          <w:color w:val="0000FF"/>
          <w:szCs w:val="24"/>
        </w:rPr>
        <w:t>( 宋体小5号)</w:t>
      </w:r>
    </w:p>
    <w:p>
      <w:pPr>
        <w:spacing w:line="460" w:lineRule="exact"/>
        <w:rPr>
          <w:rFonts w:hint="eastAsia"/>
          <w:b/>
          <w:bCs/>
          <w:sz w:val="24"/>
          <w:szCs w:val="24"/>
        </w:rPr>
      </w:pPr>
      <w:r>
        <w:rPr>
          <w:rFonts w:hint="eastAsia"/>
          <w:b/>
          <w:bCs/>
          <w:sz w:val="24"/>
          <w:szCs w:val="24"/>
        </w:rPr>
        <w:t>英文摘要示例：</w:t>
      </w:r>
    </w:p>
    <w:p>
      <w:pPr>
        <w:spacing w:line="460" w:lineRule="exact"/>
        <w:rPr>
          <w:rFonts w:hint="eastAsia"/>
          <w:b/>
          <w:bCs/>
          <w:sz w:val="24"/>
          <w:szCs w:val="24"/>
        </w:rPr>
      </w:pPr>
    </w:p>
    <w:p>
      <w:pPr>
        <w:spacing w:line="460" w:lineRule="exact"/>
        <w:jc w:val="center"/>
        <w:rPr>
          <w:b/>
          <w:sz w:val="28"/>
          <w:szCs w:val="28"/>
        </w:rPr>
      </w:pPr>
      <w:r>
        <w:rPr>
          <w:rFonts w:hint="eastAsia"/>
          <w:b/>
          <w:sz w:val="28"/>
          <w:szCs w:val="28"/>
        </w:rPr>
        <w:t>Research into Organization Structure of Floods Emergency Management under Bureaucracy-Cooperation System:A Case Study of Huaihe River Basin</w:t>
      </w:r>
      <w:r>
        <w:rPr>
          <w:rFonts w:hint="eastAsia" w:ascii="楷体_GB2312" w:eastAsia="楷体_GB2312"/>
          <w:color w:val="FF0000"/>
          <w:szCs w:val="24"/>
        </w:rPr>
        <w:t>（Times New Roman 4号粗体居中）</w:t>
      </w:r>
    </w:p>
    <w:p>
      <w:pPr>
        <w:spacing w:line="460" w:lineRule="exact"/>
        <w:jc w:val="center"/>
        <w:rPr>
          <w:rFonts w:hint="eastAsia"/>
          <w:bCs/>
          <w:szCs w:val="21"/>
        </w:rPr>
      </w:pPr>
      <w:r>
        <w:rPr>
          <w:rFonts w:hint="eastAsia"/>
          <w:bCs/>
          <w:szCs w:val="21"/>
        </w:rPr>
        <w:t>WANG Hui-min，et al</w:t>
      </w:r>
      <w:r>
        <w:rPr>
          <w:rFonts w:hint="eastAsia" w:ascii="楷体_GB2312" w:eastAsia="楷体_GB2312"/>
          <w:color w:val="FF0000"/>
          <w:szCs w:val="24"/>
        </w:rPr>
        <w:t>（Times New Roman 5号居中）</w:t>
      </w:r>
    </w:p>
    <w:p>
      <w:pPr>
        <w:spacing w:line="460" w:lineRule="exact"/>
        <w:jc w:val="center"/>
        <w:rPr>
          <w:rFonts w:hint="eastAsia"/>
          <w:bCs/>
          <w:szCs w:val="21"/>
        </w:rPr>
      </w:pPr>
      <w:r>
        <w:rPr>
          <w:rFonts w:hint="eastAsia"/>
          <w:bCs/>
          <w:szCs w:val="21"/>
        </w:rPr>
        <w:t>(State Key Laboratory of Hydrology-Water Resources and Hydraulic Engineering,Hohai University, Nanjing 210098, China)</w:t>
      </w:r>
      <w:r>
        <w:rPr>
          <w:rFonts w:hint="eastAsia" w:ascii="楷体_GB2312" w:eastAsia="楷体_GB2312"/>
          <w:color w:val="FF0000"/>
          <w:szCs w:val="24"/>
        </w:rPr>
        <w:t>（Times New Roman 5号居中）</w:t>
      </w:r>
    </w:p>
    <w:p>
      <w:pPr>
        <w:autoSpaceDE w:val="0"/>
        <w:autoSpaceDN w:val="0"/>
        <w:adjustRightInd w:val="0"/>
        <w:spacing w:line="400" w:lineRule="exact"/>
        <w:outlineLvl w:val="0"/>
        <w:rPr>
          <w:rFonts w:hint="eastAsia"/>
          <w:b/>
          <w:sz w:val="18"/>
          <w:szCs w:val="18"/>
        </w:rPr>
      </w:pPr>
      <w:r>
        <w:rPr>
          <w:rFonts w:hint="eastAsia"/>
          <w:b/>
          <w:szCs w:val="21"/>
        </w:rPr>
        <w:t>Abstract:</w:t>
      </w:r>
      <w:r>
        <w:rPr>
          <w:rFonts w:hint="eastAsia" w:ascii="楷体_GB2312" w:eastAsia="楷体_GB2312"/>
          <w:color w:val="FF0000"/>
          <w:szCs w:val="24"/>
        </w:rPr>
        <w:t>（Times New Roman 5号粗体）</w:t>
      </w:r>
      <w:r>
        <w:rPr>
          <w:rFonts w:hint="eastAsia"/>
          <w:bCs/>
          <w:sz w:val="18"/>
          <w:szCs w:val="18"/>
        </w:rPr>
        <w:t>F</w:t>
      </w:r>
      <w:r>
        <w:rPr>
          <w:bCs/>
          <w:sz w:val="18"/>
          <w:szCs w:val="18"/>
        </w:rPr>
        <w:t xml:space="preserve">loods are tending to normalization </w:t>
      </w:r>
      <w:bookmarkStart w:id="18" w:name="OLE_LINK21"/>
      <w:r>
        <w:rPr>
          <w:bCs/>
          <w:sz w:val="18"/>
          <w:szCs w:val="18"/>
        </w:rPr>
        <w:t xml:space="preserve">in </w:t>
      </w:r>
      <w:bookmarkEnd w:id="18"/>
      <w:r>
        <w:rPr>
          <w:rFonts w:hint="eastAsia"/>
          <w:bCs/>
          <w:sz w:val="18"/>
          <w:szCs w:val="18"/>
        </w:rPr>
        <w:t>recent years</w:t>
      </w:r>
      <w:r>
        <w:rPr>
          <w:bCs/>
          <w:sz w:val="18"/>
          <w:szCs w:val="18"/>
        </w:rPr>
        <w:t>.</w:t>
      </w:r>
      <w:bookmarkStart w:id="19" w:name="OLE_LINK44"/>
      <w:r>
        <w:rPr>
          <w:bCs/>
          <w:sz w:val="18"/>
          <w:szCs w:val="18"/>
        </w:rPr>
        <w:t xml:space="preserve"> The current Flood Control and Drought Relief Organization System</w:t>
      </w:r>
      <w:bookmarkEnd w:id="19"/>
      <w:r>
        <w:rPr>
          <w:bCs/>
          <w:sz w:val="18"/>
          <w:szCs w:val="18"/>
        </w:rPr>
        <w:t xml:space="preserve"> </w:t>
      </w:r>
      <w:r>
        <w:rPr>
          <w:bCs/>
          <w:sz w:val="18"/>
          <w:szCs w:val="18"/>
        </w:rPr>
        <w:fldChar w:fldCharType="begin"/>
      </w:r>
      <w:r>
        <w:rPr>
          <w:bCs/>
          <w:sz w:val="18"/>
          <w:szCs w:val="18"/>
        </w:rPr>
        <w:instrText xml:space="preserve"> HYPERLINK "dict://key.0895DFE8DB67F9409DB285590D870EDD/have%20too%20many%20difficulties%20to%20cope%20with" \o "查找: have too many difficulties to cope with" </w:instrText>
      </w:r>
      <w:r>
        <w:rPr>
          <w:bCs/>
          <w:sz w:val="18"/>
          <w:szCs w:val="18"/>
        </w:rPr>
        <w:fldChar w:fldCharType="separate"/>
      </w:r>
      <w:r>
        <w:rPr>
          <w:bCs/>
          <w:sz w:val="18"/>
          <w:szCs w:val="18"/>
        </w:rPr>
        <w:t>has too many difficulties to cope with</w:t>
      </w:r>
      <w:r>
        <w:rPr>
          <w:bCs/>
          <w:sz w:val="18"/>
          <w:szCs w:val="18"/>
        </w:rPr>
        <w:fldChar w:fldCharType="end"/>
      </w:r>
      <w:r>
        <w:rPr>
          <w:bCs/>
          <w:sz w:val="18"/>
          <w:szCs w:val="18"/>
        </w:rPr>
        <w:t xml:space="preserve"> floods which become increasingly complex. It is proposed that emergency management system of floods have to integrate bureaucracy with cooperative system, which corresponds with Chinese reality. Therefore,</w:t>
      </w:r>
      <w:bookmarkStart w:id="20" w:name="OLE_LINK6"/>
      <w:r>
        <w:rPr>
          <w:bCs/>
          <w:sz w:val="18"/>
          <w:szCs w:val="18"/>
        </w:rPr>
        <w:t xml:space="preserve"> management thoughts </w:t>
      </w:r>
      <w:r>
        <w:rPr>
          <w:rFonts w:hint="eastAsia"/>
          <w:bCs/>
          <w:sz w:val="18"/>
          <w:szCs w:val="18"/>
        </w:rPr>
        <w:t xml:space="preserve">on </w:t>
      </w:r>
      <w:r>
        <w:rPr>
          <w:bCs/>
          <w:sz w:val="18"/>
          <w:szCs w:val="18"/>
        </w:rPr>
        <w:t>“bureaucracy-cooperation”</w:t>
      </w:r>
      <w:r>
        <w:rPr>
          <w:rFonts w:hint="eastAsia"/>
          <w:bCs/>
          <w:sz w:val="18"/>
          <w:szCs w:val="18"/>
        </w:rPr>
        <w:t xml:space="preserve"> </w:t>
      </w:r>
      <w:r>
        <w:rPr>
          <w:bCs/>
          <w:sz w:val="18"/>
          <w:szCs w:val="18"/>
        </w:rPr>
        <w:t xml:space="preserve">system </w:t>
      </w:r>
      <w:r>
        <w:rPr>
          <w:rFonts w:hint="eastAsia"/>
          <w:bCs/>
          <w:sz w:val="18"/>
          <w:szCs w:val="18"/>
        </w:rPr>
        <w:t xml:space="preserve">are </w:t>
      </w:r>
      <w:r>
        <w:rPr>
          <w:bCs/>
          <w:sz w:val="18"/>
          <w:szCs w:val="18"/>
        </w:rPr>
        <w:t>expound</w:t>
      </w:r>
      <w:r>
        <w:rPr>
          <w:rFonts w:hint="eastAsia"/>
          <w:bCs/>
          <w:sz w:val="18"/>
          <w:szCs w:val="18"/>
        </w:rPr>
        <w:t xml:space="preserve">ed. Then </w:t>
      </w:r>
      <w:r>
        <w:rPr>
          <w:bCs/>
          <w:sz w:val="18"/>
          <w:szCs w:val="18"/>
        </w:rPr>
        <w:t>the organization structure</w:t>
      </w:r>
      <w:bookmarkEnd w:id="20"/>
      <w:r>
        <w:rPr>
          <w:bCs/>
          <w:sz w:val="18"/>
          <w:szCs w:val="18"/>
        </w:rPr>
        <w:t xml:space="preserve"> of floods emergency management is constructed </w:t>
      </w:r>
      <w:bookmarkStart w:id="21" w:name="OLE_LINK8"/>
      <w:r>
        <w:rPr>
          <w:bCs/>
          <w:sz w:val="18"/>
          <w:szCs w:val="18"/>
        </w:rPr>
        <w:t xml:space="preserve">under </w:t>
      </w:r>
      <w:bookmarkStart w:id="22" w:name="OLE_LINK28"/>
      <w:bookmarkStart w:id="23" w:name="OLE_LINK36"/>
      <w:r>
        <w:rPr>
          <w:bCs/>
          <w:sz w:val="18"/>
          <w:szCs w:val="18"/>
        </w:rPr>
        <w:t>“bureaucracy-cooperation”</w:t>
      </w:r>
      <w:bookmarkEnd w:id="22"/>
      <w:r>
        <w:rPr>
          <w:bCs/>
          <w:sz w:val="18"/>
          <w:szCs w:val="18"/>
        </w:rPr>
        <w:t xml:space="preserve"> system</w:t>
      </w:r>
      <w:bookmarkEnd w:id="21"/>
      <w:bookmarkEnd w:id="23"/>
      <w:r>
        <w:rPr>
          <w:bCs/>
          <w:sz w:val="18"/>
          <w:szCs w:val="18"/>
        </w:rPr>
        <w:t xml:space="preserve"> based on Crisis Management Shell Structure(CMSS). This structure reserves the</w:t>
      </w:r>
      <w:bookmarkStart w:id="24" w:name="OLE_LINK34"/>
      <w:r>
        <w:rPr>
          <w:bCs/>
          <w:sz w:val="18"/>
          <w:szCs w:val="18"/>
        </w:rPr>
        <w:t xml:space="preserve"> advantages</w:t>
      </w:r>
      <w:bookmarkEnd w:id="24"/>
      <w:r>
        <w:rPr>
          <w:bCs/>
          <w:sz w:val="18"/>
          <w:szCs w:val="18"/>
        </w:rPr>
        <w:t xml:space="preserve"> of high efficiency in bureaucracy and flexibility in cooperative system. Task-grouping and modularization management are emphasized in the “bureaucracy-cooperation” system to reach seamless cooperation among multi-agent. </w:t>
      </w:r>
      <w:r>
        <w:rPr>
          <w:rFonts w:hint="eastAsia"/>
          <w:bCs/>
          <w:sz w:val="18"/>
          <w:szCs w:val="18"/>
        </w:rPr>
        <w:t>And</w:t>
      </w:r>
      <w:r>
        <w:rPr>
          <w:bCs/>
          <w:sz w:val="18"/>
          <w:szCs w:val="18"/>
        </w:rPr>
        <w:t xml:space="preserve">, formation mechanism and operation mechanism of “bureaucracy-cooperation” system are elaborated. </w:t>
      </w:r>
      <w:r>
        <w:rPr>
          <w:rFonts w:hint="eastAsia"/>
          <w:bCs/>
          <w:sz w:val="18"/>
          <w:szCs w:val="18"/>
        </w:rPr>
        <w:t xml:space="preserve">Finally, by taking Huaihu River Basin as example, we design new organization structure under </w:t>
      </w:r>
      <w:r>
        <w:rPr>
          <w:bCs/>
          <w:sz w:val="18"/>
          <w:szCs w:val="18"/>
        </w:rPr>
        <w:t>“bureaucracy-cooperation” system</w:t>
      </w:r>
      <w:r>
        <w:rPr>
          <w:rFonts w:hint="eastAsia"/>
          <w:bCs/>
          <w:sz w:val="18"/>
          <w:szCs w:val="18"/>
        </w:rPr>
        <w:t xml:space="preserve"> and contrast it with the current structure. </w:t>
      </w:r>
      <w:r>
        <w:rPr>
          <w:bCs/>
          <w:sz w:val="18"/>
          <w:szCs w:val="18"/>
        </w:rPr>
        <w:t>W</w:t>
      </w:r>
      <w:r>
        <w:rPr>
          <w:rFonts w:hint="eastAsia"/>
          <w:bCs/>
          <w:sz w:val="18"/>
          <w:szCs w:val="18"/>
        </w:rPr>
        <w:t>e get conclusion that t</w:t>
      </w:r>
      <w:r>
        <w:rPr>
          <w:bCs/>
          <w:sz w:val="18"/>
          <w:szCs w:val="18"/>
        </w:rPr>
        <w:t>he former is more adapted to</w:t>
      </w:r>
      <w:r>
        <w:rPr>
          <w:rFonts w:hint="eastAsia"/>
          <w:bCs/>
          <w:sz w:val="18"/>
          <w:szCs w:val="18"/>
        </w:rPr>
        <w:t xml:space="preserve"> floods emergency management.</w:t>
      </w:r>
      <w:r>
        <w:rPr>
          <w:rFonts w:hint="eastAsia" w:ascii="楷体_GB2312" w:eastAsia="楷体_GB2312"/>
          <w:color w:val="FF0000"/>
          <w:szCs w:val="24"/>
        </w:rPr>
        <w:t>（Times New Roman 小5号）</w:t>
      </w:r>
    </w:p>
    <w:p>
      <w:pPr>
        <w:autoSpaceDE w:val="0"/>
        <w:autoSpaceDN w:val="0"/>
        <w:adjustRightInd w:val="0"/>
        <w:spacing w:line="400" w:lineRule="exact"/>
        <w:outlineLvl w:val="0"/>
        <w:rPr>
          <w:bCs/>
          <w:sz w:val="24"/>
        </w:rPr>
      </w:pPr>
      <w:r>
        <w:rPr>
          <w:b/>
          <w:bCs/>
          <w:sz w:val="24"/>
        </w:rPr>
        <w:t>Key words:</w:t>
      </w:r>
      <w:r>
        <w:rPr>
          <w:bCs/>
          <w:sz w:val="24"/>
        </w:rPr>
        <w:t xml:space="preserve"> </w:t>
      </w:r>
      <w:bookmarkStart w:id="25" w:name="OLE_LINK18"/>
      <w:r>
        <w:rPr>
          <w:rFonts w:hint="eastAsia" w:ascii="楷体_GB2312" w:eastAsia="楷体_GB2312"/>
          <w:color w:val="FF0000"/>
          <w:szCs w:val="24"/>
        </w:rPr>
        <w:t>（Times New Roman 5号粗体）</w:t>
      </w:r>
      <w:r>
        <w:rPr>
          <w:bCs/>
          <w:sz w:val="18"/>
          <w:szCs w:val="18"/>
        </w:rPr>
        <w:t>bureaucracy-cooperation</w:t>
      </w:r>
      <w:bookmarkStart w:id="26" w:name="OLE_LINK20"/>
      <w:r>
        <w:rPr>
          <w:rFonts w:hint="eastAsia"/>
          <w:bCs/>
          <w:sz w:val="18"/>
          <w:szCs w:val="18"/>
        </w:rPr>
        <w:t>；</w:t>
      </w:r>
      <w:r>
        <w:rPr>
          <w:bCs/>
          <w:sz w:val="18"/>
          <w:szCs w:val="18"/>
        </w:rPr>
        <w:t>floods</w:t>
      </w:r>
      <w:bookmarkEnd w:id="25"/>
      <w:bookmarkEnd w:id="26"/>
      <w:bookmarkStart w:id="27" w:name="OLE_LINK22"/>
      <w:bookmarkStart w:id="28" w:name="OLE_LINK13"/>
      <w:r>
        <w:rPr>
          <w:rFonts w:hint="eastAsia"/>
          <w:bCs/>
          <w:sz w:val="18"/>
          <w:szCs w:val="18"/>
        </w:rPr>
        <w:t xml:space="preserve"> </w:t>
      </w:r>
      <w:r>
        <w:rPr>
          <w:bCs/>
          <w:sz w:val="18"/>
          <w:szCs w:val="18"/>
        </w:rPr>
        <w:t>emergency management；</w:t>
      </w:r>
      <w:bookmarkEnd w:id="27"/>
      <w:bookmarkEnd w:id="28"/>
      <w:r>
        <w:rPr>
          <w:bCs/>
          <w:sz w:val="18"/>
          <w:szCs w:val="18"/>
        </w:rPr>
        <w:t>organization structure</w:t>
      </w:r>
      <w:r>
        <w:rPr>
          <w:rFonts w:hint="eastAsia"/>
          <w:bCs/>
          <w:sz w:val="18"/>
          <w:szCs w:val="18"/>
        </w:rPr>
        <w:t>；</w:t>
      </w:r>
      <w:bookmarkStart w:id="29" w:name="OLE_LINK19"/>
      <w:r>
        <w:rPr>
          <w:bCs/>
          <w:sz w:val="18"/>
          <w:szCs w:val="18"/>
        </w:rPr>
        <w:t>Huaihe River Basin</w:t>
      </w:r>
      <w:bookmarkEnd w:id="29"/>
      <w:r>
        <w:rPr>
          <w:rFonts w:hint="eastAsia" w:ascii="楷体_GB2312" w:eastAsia="楷体_GB2312"/>
          <w:color w:val="FF0000"/>
          <w:szCs w:val="24"/>
        </w:rPr>
        <w:t>（Times New Roman 小5号）</w:t>
      </w:r>
    </w:p>
    <w:p>
      <w:pPr>
        <w:spacing w:line="460" w:lineRule="exact"/>
        <w:jc w:val="center"/>
        <w:rPr>
          <w:rFonts w:hint="eastAsia" w:ascii="宋体" w:hAnsi="宋体"/>
          <w:szCs w:val="21"/>
        </w:rPr>
      </w:pPr>
    </w:p>
    <w:p/>
    <w:p>
      <w:pPr>
        <w:jc w:val="center"/>
      </w:pPr>
    </w:p>
    <w:sectPr>
      <w:headerReference r:id="rId4" w:type="default"/>
      <w:footerReference r:id="rId6" w:type="default"/>
      <w:headerReference r:id="rId5" w:type="even"/>
      <w:footerReference r:id="rId7" w:type="even"/>
      <w:pgSz w:w="11906" w:h="16838"/>
      <w:pgMar w:top="1418" w:right="1701" w:bottom="1418" w:left="1701"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7"/>
        <w:rPr>
          <w:rFonts w:hint="eastAsia"/>
        </w:rPr>
      </w:pPr>
      <w:r>
        <w:rPr>
          <w:rFonts w:hint="eastAsia"/>
          <w:b/>
          <w:bCs/>
        </w:rPr>
        <w:t>收稿日期：</w:t>
      </w:r>
      <w:r>
        <w:rPr>
          <w:rFonts w:hint="eastAsia"/>
        </w:rPr>
        <w:t>2014-05-22</w:t>
      </w:r>
    </w:p>
    <w:p>
      <w:pPr>
        <w:pStyle w:val="7"/>
        <w:rPr>
          <w:rFonts w:hint="eastAsia"/>
        </w:rPr>
      </w:pPr>
      <w:r>
        <w:rPr>
          <w:rFonts w:hint="eastAsia"/>
          <w:b/>
          <w:bCs/>
        </w:rPr>
        <w:t>基金项目：</w:t>
      </w:r>
      <w:r>
        <w:rPr>
          <w:rFonts w:hint="eastAsia"/>
        </w:rPr>
        <w:t>国家社科基金重大项目（</w:t>
      </w:r>
      <w:r>
        <w:t>12&amp;ZD214</w:t>
      </w:r>
      <w:r>
        <w:rPr>
          <w:rFonts w:hint="eastAsia"/>
        </w:rPr>
        <w:t>）；</w:t>
      </w:r>
      <w:r>
        <w:t>国家自然科学基金</w:t>
      </w:r>
      <w:r>
        <w:rPr>
          <w:rFonts w:hint="eastAsia"/>
        </w:rPr>
        <w:t>重大研究计划</w:t>
      </w:r>
      <w:r>
        <w:t>（90924027）</w:t>
      </w:r>
      <w:r>
        <w:rPr>
          <w:rFonts w:hint="eastAsia"/>
        </w:rPr>
        <w:t>；</w:t>
      </w:r>
      <w:r>
        <w:t>国家自然科学基金（</w:t>
      </w:r>
      <w:r>
        <w:rPr>
          <w:rFonts w:eastAsia="楷体_GB2312"/>
        </w:rPr>
        <w:t>71433003</w:t>
      </w:r>
      <w:r>
        <w:t>）</w:t>
      </w:r>
    </w:p>
    <w:p>
      <w:pPr>
        <w:pStyle w:val="7"/>
        <w:rPr>
          <w:rFonts w:hint="eastAsia"/>
        </w:rPr>
      </w:pPr>
      <w:r>
        <w:rPr>
          <w:rFonts w:hint="eastAsia"/>
          <w:b/>
          <w:bCs/>
        </w:rPr>
        <w:t>作者简介：</w:t>
      </w:r>
      <w:r>
        <w:rPr>
          <w:rFonts w:hint="eastAsia"/>
        </w:rPr>
        <w:t>王慧敏（1963~），女，山西阳泉人，教授，从事管理科学理论与应用研究。</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rPr>
        <w:rFonts w:hint="eastAsia"/>
      </w:rPr>
    </w:pPr>
    <w:r>
      <w:pict>
        <v:shape id="PowerPlusWaterMarkObject16866135" o:spid="_x0000_s2050" o:spt="136" type="#_x0000_t136" style="position:absolute;left:0pt;height:236.8pt;width:415.3pt;mso-position-horizontal:center;mso-position-horizontal-relative:margin;mso-position-vertical:center;mso-position-vertical-relative:margin;z-index:-251657216;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样本" style="font-family:宋体;font-size:36pt;v-text-align:center;"/>
        </v:shape>
      </w:pict>
    </w:r>
    <w:r>
      <w:rPr>
        <w:rFonts w:hint="eastAsia"/>
      </w:rPr>
      <w:t>河海大学学报（哲学社会科学版）论文来稿要求及格式样张</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2049" o:spid="_x0000_s2049" o:spt="136" type="#_x0000_t136" style="position:absolute;left:0pt;height:236.8pt;width:415.3pt;mso-position-horizontal:center;mso-position-horizontal-relative:margin;mso-position-vertical:center;mso-position-vertical-relative:margin;z-index:-251656192;mso-width-relative:page;mso-height-relative:page;" fillcolor="#C0C0C0" filled="t" stroked="f" coordsize="21600,21600" adj="10800">
          <v:path/>
          <v:fill on="t" opacity="32768f" focussize="0,0"/>
          <v:stroke on="f"/>
          <v:imagedata o:title=""/>
          <o:lock v:ext="edit" grouping="f" rotation="f" text="f" aspectratio="t"/>
          <v:textpath on="t" fitshape="t" fitpath="t" trim="t" xscale="f" string="样本" style="font-family:宋体;font-size:36pt;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45CDE69"/>
    <w:multiLevelType w:val="singleLevel"/>
    <w:tmpl w:val="545CDE69"/>
    <w:lvl w:ilvl="0" w:tentative="0">
      <w:start w:val="7"/>
      <w:numFmt w:val="chineseCounting"/>
      <w:suff w:val="nothing"/>
      <w:lvlText w:val="%1、"/>
      <w:lvlJc w:val="left"/>
    </w:lvl>
  </w:abstractNum>
  <w:abstractNum w:abstractNumId="1">
    <w:nsid w:val="545CDE96"/>
    <w:multiLevelType w:val="singleLevel"/>
    <w:tmpl w:val="545CDE9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evenAndOddHeaders w:val="1"/>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footnotePr>
    <w:footnote w:id="2"/>
    <w:footnote w:id="3"/>
  </w:foot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16D8E"/>
    <w:rsid w:val="00037591"/>
    <w:rsid w:val="00064C3B"/>
    <w:rsid w:val="001A59F9"/>
    <w:rsid w:val="003C7046"/>
    <w:rsid w:val="004C27E4"/>
    <w:rsid w:val="004C3763"/>
    <w:rsid w:val="006904E2"/>
    <w:rsid w:val="0086066C"/>
    <w:rsid w:val="00992F2D"/>
    <w:rsid w:val="009C280F"/>
    <w:rsid w:val="00B27AF2"/>
    <w:rsid w:val="00B70769"/>
    <w:rsid w:val="00EF6A16"/>
    <w:rsid w:val="01264972"/>
    <w:rsid w:val="019D7E34"/>
    <w:rsid w:val="01AE5B4F"/>
    <w:rsid w:val="01C247F0"/>
    <w:rsid w:val="01D3250C"/>
    <w:rsid w:val="0218777D"/>
    <w:rsid w:val="024702CC"/>
    <w:rsid w:val="02852330"/>
    <w:rsid w:val="02FD0CF5"/>
    <w:rsid w:val="03C142B6"/>
    <w:rsid w:val="04B34B43"/>
    <w:rsid w:val="04F027A9"/>
    <w:rsid w:val="052E6A0B"/>
    <w:rsid w:val="05351C19"/>
    <w:rsid w:val="05A012C8"/>
    <w:rsid w:val="05EA2195"/>
    <w:rsid w:val="06A12170"/>
    <w:rsid w:val="07DD0873"/>
    <w:rsid w:val="07EA4F90"/>
    <w:rsid w:val="082038E6"/>
    <w:rsid w:val="08647852"/>
    <w:rsid w:val="0904195A"/>
    <w:rsid w:val="092A3D98"/>
    <w:rsid w:val="09313723"/>
    <w:rsid w:val="093211A4"/>
    <w:rsid w:val="093830AD"/>
    <w:rsid w:val="0A247833"/>
    <w:rsid w:val="0A945568"/>
    <w:rsid w:val="0B611439"/>
    <w:rsid w:val="0B7735DC"/>
    <w:rsid w:val="0C4D233B"/>
    <w:rsid w:val="0D0B39F3"/>
    <w:rsid w:val="0D344BB7"/>
    <w:rsid w:val="0E581497"/>
    <w:rsid w:val="0EBF433E"/>
    <w:rsid w:val="0EC74FCE"/>
    <w:rsid w:val="0EE213FB"/>
    <w:rsid w:val="0F995326"/>
    <w:rsid w:val="0FA201B4"/>
    <w:rsid w:val="108A5F33"/>
    <w:rsid w:val="10F26BDC"/>
    <w:rsid w:val="110E4E87"/>
    <w:rsid w:val="1168209E"/>
    <w:rsid w:val="11915461"/>
    <w:rsid w:val="126357B9"/>
    <w:rsid w:val="1265373B"/>
    <w:rsid w:val="12887F77"/>
    <w:rsid w:val="134273A6"/>
    <w:rsid w:val="13566046"/>
    <w:rsid w:val="13BA5D6B"/>
    <w:rsid w:val="142E02A8"/>
    <w:rsid w:val="14730EEC"/>
    <w:rsid w:val="149D1BE1"/>
    <w:rsid w:val="15383FDD"/>
    <w:rsid w:val="1720607C"/>
    <w:rsid w:val="17725E86"/>
    <w:rsid w:val="17857976"/>
    <w:rsid w:val="17C23687"/>
    <w:rsid w:val="18181E97"/>
    <w:rsid w:val="184461DF"/>
    <w:rsid w:val="18DA1F55"/>
    <w:rsid w:val="19BE7C49"/>
    <w:rsid w:val="19E90A8E"/>
    <w:rsid w:val="1C592E11"/>
    <w:rsid w:val="1C61021D"/>
    <w:rsid w:val="1D3C6C87"/>
    <w:rsid w:val="1DB96250"/>
    <w:rsid w:val="1E225C80"/>
    <w:rsid w:val="1F643D0D"/>
    <w:rsid w:val="20A26F98"/>
    <w:rsid w:val="20AD7527"/>
    <w:rsid w:val="21053774"/>
    <w:rsid w:val="212671F1"/>
    <w:rsid w:val="21372D0F"/>
    <w:rsid w:val="21824088"/>
    <w:rsid w:val="221D6484"/>
    <w:rsid w:val="229C0058"/>
    <w:rsid w:val="23FA7F94"/>
    <w:rsid w:val="24423C0B"/>
    <w:rsid w:val="24A75B2E"/>
    <w:rsid w:val="24E53415"/>
    <w:rsid w:val="24EB531E"/>
    <w:rsid w:val="24FC68BD"/>
    <w:rsid w:val="25167467"/>
    <w:rsid w:val="25346A17"/>
    <w:rsid w:val="26004E66"/>
    <w:rsid w:val="262650A6"/>
    <w:rsid w:val="262A3AAC"/>
    <w:rsid w:val="26D0553E"/>
    <w:rsid w:val="273242DE"/>
    <w:rsid w:val="27DB7BEF"/>
    <w:rsid w:val="28357004"/>
    <w:rsid w:val="289C7CAD"/>
    <w:rsid w:val="2967647C"/>
    <w:rsid w:val="2A0E7F0F"/>
    <w:rsid w:val="2A380D53"/>
    <w:rsid w:val="2A916E63"/>
    <w:rsid w:val="2AAB580F"/>
    <w:rsid w:val="2ABD0FAC"/>
    <w:rsid w:val="2B15163B"/>
    <w:rsid w:val="2C0525C8"/>
    <w:rsid w:val="2C2C6C04"/>
    <w:rsid w:val="2CD165DD"/>
    <w:rsid w:val="2DAC5DFC"/>
    <w:rsid w:val="2E801657"/>
    <w:rsid w:val="2E9615FD"/>
    <w:rsid w:val="2EA30912"/>
    <w:rsid w:val="2EAC37A0"/>
    <w:rsid w:val="2EC96A51"/>
    <w:rsid w:val="2EEA6B08"/>
    <w:rsid w:val="2F1B72D7"/>
    <w:rsid w:val="2FB055CC"/>
    <w:rsid w:val="2FFB21C9"/>
    <w:rsid w:val="30850AA8"/>
    <w:rsid w:val="30AC6769"/>
    <w:rsid w:val="311D7D22"/>
    <w:rsid w:val="321A21C3"/>
    <w:rsid w:val="33747E76"/>
    <w:rsid w:val="34A80273"/>
    <w:rsid w:val="354A587E"/>
    <w:rsid w:val="359A6901"/>
    <w:rsid w:val="35D10FDA"/>
    <w:rsid w:val="37067D52"/>
    <w:rsid w:val="37EE5AD1"/>
    <w:rsid w:val="38E505E8"/>
    <w:rsid w:val="394F2215"/>
    <w:rsid w:val="39AF7CB0"/>
    <w:rsid w:val="3A332488"/>
    <w:rsid w:val="3A740CF3"/>
    <w:rsid w:val="3A867D14"/>
    <w:rsid w:val="3AF328C6"/>
    <w:rsid w:val="3B94244F"/>
    <w:rsid w:val="3C635FA0"/>
    <w:rsid w:val="3D363D7A"/>
    <w:rsid w:val="3E675770"/>
    <w:rsid w:val="3EB62F71"/>
    <w:rsid w:val="3F63308A"/>
    <w:rsid w:val="3FAD5A88"/>
    <w:rsid w:val="412B5EF9"/>
    <w:rsid w:val="41561EE7"/>
    <w:rsid w:val="41602ED0"/>
    <w:rsid w:val="4186530E"/>
    <w:rsid w:val="41CC21FF"/>
    <w:rsid w:val="41EA2E34"/>
    <w:rsid w:val="423441AD"/>
    <w:rsid w:val="42E3304C"/>
    <w:rsid w:val="4389125B"/>
    <w:rsid w:val="43B93FA8"/>
    <w:rsid w:val="43C226BA"/>
    <w:rsid w:val="447F2A6D"/>
    <w:rsid w:val="44BF3856"/>
    <w:rsid w:val="45117DDD"/>
    <w:rsid w:val="46602F82"/>
    <w:rsid w:val="46726720"/>
    <w:rsid w:val="471A5C34"/>
    <w:rsid w:val="48270370"/>
    <w:rsid w:val="48403498"/>
    <w:rsid w:val="4A545481"/>
    <w:rsid w:val="4A6D602B"/>
    <w:rsid w:val="4ACC3E46"/>
    <w:rsid w:val="4C326C11"/>
    <w:rsid w:val="4C831E93"/>
    <w:rsid w:val="4CA07244"/>
    <w:rsid w:val="4D8E364A"/>
    <w:rsid w:val="4DDD6C4C"/>
    <w:rsid w:val="4E1B6731"/>
    <w:rsid w:val="4E2F31D3"/>
    <w:rsid w:val="4E622728"/>
    <w:rsid w:val="4F93631E"/>
    <w:rsid w:val="4FB42FCF"/>
    <w:rsid w:val="4FFD46C8"/>
    <w:rsid w:val="50652DF3"/>
    <w:rsid w:val="506C277D"/>
    <w:rsid w:val="51785239"/>
    <w:rsid w:val="51A105FC"/>
    <w:rsid w:val="5277735B"/>
    <w:rsid w:val="52885076"/>
    <w:rsid w:val="53455429"/>
    <w:rsid w:val="535769C9"/>
    <w:rsid w:val="53B77CE7"/>
    <w:rsid w:val="54EA355C"/>
    <w:rsid w:val="550E0298"/>
    <w:rsid w:val="555D389B"/>
    <w:rsid w:val="56C9056E"/>
    <w:rsid w:val="57BA337A"/>
    <w:rsid w:val="58704A10"/>
    <w:rsid w:val="58717625"/>
    <w:rsid w:val="58D21C48"/>
    <w:rsid w:val="59442807"/>
    <w:rsid w:val="59F70726"/>
    <w:rsid w:val="5A9A37B2"/>
    <w:rsid w:val="5ADC5520"/>
    <w:rsid w:val="5B4E0CD7"/>
    <w:rsid w:val="5C0B51FB"/>
    <w:rsid w:val="5C622D9E"/>
    <w:rsid w:val="5CF01708"/>
    <w:rsid w:val="5D982E1B"/>
    <w:rsid w:val="5DE31F95"/>
    <w:rsid w:val="5DEC28A5"/>
    <w:rsid w:val="5DF744B9"/>
    <w:rsid w:val="5E7E7C15"/>
    <w:rsid w:val="5E865022"/>
    <w:rsid w:val="5EBB7A7A"/>
    <w:rsid w:val="60DE0679"/>
    <w:rsid w:val="618B4015"/>
    <w:rsid w:val="62B06376"/>
    <w:rsid w:val="637F0FCD"/>
    <w:rsid w:val="63C11A36"/>
    <w:rsid w:val="63FF4D9E"/>
    <w:rsid w:val="64DF440C"/>
    <w:rsid w:val="654D4A40"/>
    <w:rsid w:val="659C2241"/>
    <w:rsid w:val="65D12A9B"/>
    <w:rsid w:val="65E174B2"/>
    <w:rsid w:val="66174109"/>
    <w:rsid w:val="68403B19"/>
    <w:rsid w:val="68577EBB"/>
    <w:rsid w:val="68C94977"/>
    <w:rsid w:val="6910096E"/>
    <w:rsid w:val="6AFD6E95"/>
    <w:rsid w:val="6BAA4A2F"/>
    <w:rsid w:val="6CDA09A4"/>
    <w:rsid w:val="6D98205C"/>
    <w:rsid w:val="6DB82591"/>
    <w:rsid w:val="6DEC3CE4"/>
    <w:rsid w:val="6E6B2034"/>
    <w:rsid w:val="6EA56D16"/>
    <w:rsid w:val="6ECF42D7"/>
    <w:rsid w:val="6EF36A95"/>
    <w:rsid w:val="6F846384"/>
    <w:rsid w:val="707F1A9F"/>
    <w:rsid w:val="70C35A0C"/>
    <w:rsid w:val="71ED1C76"/>
    <w:rsid w:val="749D155F"/>
    <w:rsid w:val="74B16002"/>
    <w:rsid w:val="74BC6591"/>
    <w:rsid w:val="74CB6BAB"/>
    <w:rsid w:val="75070F8F"/>
    <w:rsid w:val="75853A5B"/>
    <w:rsid w:val="777F291C"/>
    <w:rsid w:val="78630991"/>
    <w:rsid w:val="797C6F95"/>
    <w:rsid w:val="798D1378"/>
    <w:rsid w:val="79DC01FD"/>
    <w:rsid w:val="7A0F3ECF"/>
    <w:rsid w:val="7A35410F"/>
    <w:rsid w:val="7A481AAB"/>
    <w:rsid w:val="7A4F1436"/>
    <w:rsid w:val="7A7F7A06"/>
    <w:rsid w:val="7BE86FD9"/>
    <w:rsid w:val="7BED3460"/>
    <w:rsid w:val="7C751E17"/>
    <w:rsid w:val="7D5E7E3F"/>
    <w:rsid w:val="7DD2237C"/>
    <w:rsid w:val="7EB85AF2"/>
    <w:rsid w:val="7FCE30BB"/>
    <w:rsid w:val="7FD7164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0">
    <w:name w:val="Default Paragraph Font"/>
    <w:qFormat/>
    <w:uiPriority w:val="0"/>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Plain Text"/>
    <w:qFormat/>
    <w:uiPriority w:val="0"/>
    <w:rPr>
      <w:rFonts w:ascii="宋体" w:hAnsi="Courier New" w:eastAsia="宋体" w:cs="Courier New"/>
      <w:szCs w:val="21"/>
    </w:rPr>
  </w:style>
  <w:style w:type="paragraph" w:styleId="4">
    <w:name w:val="endnote text"/>
    <w:qFormat/>
    <w:uiPriority w:val="0"/>
    <w:pPr>
      <w:snapToGrid w:val="0"/>
      <w:jc w:val="left"/>
    </w:pPr>
    <w:rPr>
      <w:rFonts w:ascii="Times New Roman" w:hAnsi="Times New Roman" w:eastAsia="宋体" w:cs="Times New Roman"/>
    </w:rPr>
  </w:style>
  <w:style w:type="paragraph" w:styleId="5">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7">
    <w:name w:val="footnote text"/>
    <w:basedOn w:val="1"/>
    <w:qFormat/>
    <w:uiPriority w:val="0"/>
    <w:pPr>
      <w:snapToGrid w:val="0"/>
      <w:jc w:val="left"/>
    </w:pPr>
    <w:rPr>
      <w:rFonts w:ascii="Times New Roman" w:hAnsi="Times New Roman"/>
      <w:kern w:val="0"/>
      <w:sz w:val="18"/>
      <w:szCs w:val="18"/>
    </w:rPr>
  </w:style>
  <w:style w:type="table" w:styleId="9">
    <w:name w:val="Table Grid"/>
    <w:basedOn w:val="8"/>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style>
  <w:style w:type="character" w:styleId="12">
    <w:name w:val="Hyperlink"/>
    <w:qFormat/>
    <w:uiPriority w:val="0"/>
    <w:rPr>
      <w:color w:val="0000FF"/>
      <w:u w:val="single"/>
    </w:rPr>
  </w:style>
  <w:style w:type="character" w:styleId="13">
    <w:name w:val="footnote reference"/>
    <w:qFormat/>
    <w:uiPriority w:val="0"/>
    <w:rPr>
      <w:vertAlign w:val="superscript"/>
    </w:rPr>
  </w:style>
  <w:style w:type="character" w:customStyle="1" w:styleId="14">
    <w:name w:val="style291"/>
    <w:basedOn w:val="10"/>
    <w:qFormat/>
    <w:uiPriority w:val="0"/>
    <w:rPr>
      <w:sz w:val="18"/>
      <w:szCs w:val="18"/>
    </w:rPr>
  </w:style>
  <w:style w:type="character" w:customStyle="1" w:styleId="15">
    <w:name w:val="apple-converted-space"/>
    <w:basedOn w:val="10"/>
    <w:qFormat/>
    <w:uiPriority w:val="0"/>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1.bin"/><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936</Words>
  <Characters>5338</Characters>
  <Lines>44</Lines>
  <Paragraphs>12</Paragraphs>
  <TotalTime>0</TotalTime>
  <ScaleCrop>false</ScaleCrop>
  <LinksUpToDate>false</LinksUpToDate>
  <CharactersWithSpaces>6262</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2014-04-10T08:11:00Z</dcterms:created>
  <dc:creator>dell</dc:creator>
  <cp:lastModifiedBy>昔风不起</cp:lastModifiedBy>
  <dcterms:modified xsi:type="dcterms:W3CDTF">2023-10-22T13:42:32Z</dcterms:modified>
  <dc:title>本科毕业论文规范格式(文科)                    </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22132482364D4FBA9AA9B5DDA2A61118_13</vt:lpwstr>
  </property>
</Properties>
</file>